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8D0A" w14:textId="77777777" w:rsidR="00271524" w:rsidRPr="00A9310F" w:rsidRDefault="0056009A" w:rsidP="0056009A">
      <w:pPr>
        <w:pStyle w:val="Title"/>
        <w:rPr>
          <w:lang w:val="sr-Latn-RS"/>
        </w:rPr>
      </w:pPr>
      <w:r w:rsidRPr="00A9310F">
        <w:rPr>
          <w:lang w:val="sr-Latn-RS"/>
        </w:rPr>
        <w:t xml:space="preserve">PREPORUKE </w:t>
      </w:r>
      <w:r w:rsidR="004259FD" w:rsidRPr="00A9310F">
        <w:rPr>
          <w:lang w:val="sr-Latn-RS"/>
        </w:rPr>
        <w:t>– zapošljavanje i povećanje zapošljivosti mladih</w:t>
      </w:r>
    </w:p>
    <w:p w14:paraId="1DC23586" w14:textId="6885EC3B" w:rsidR="00380C63" w:rsidRPr="00A9310F" w:rsidRDefault="00380C63" w:rsidP="00380C63">
      <w:pPr>
        <w:pStyle w:val="NoSpacing"/>
        <w:rPr>
          <w:lang w:val="sr-Latn-RS"/>
        </w:rPr>
      </w:pPr>
      <w:r w:rsidRPr="00A9310F">
        <w:rPr>
          <w:i/>
          <w:iCs/>
          <w:lang w:val="sr-Latn-RS"/>
        </w:rPr>
        <w:t>*Ova publikacija je nastala uz finansijsku podršku</w:t>
      </w:r>
      <w:r w:rsidRPr="00A9310F">
        <w:rPr>
          <w:rStyle w:val="FootnoteReference"/>
          <w:i/>
          <w:iCs/>
          <w:lang w:val="sr-Latn-RS"/>
        </w:rPr>
        <w:footnoteReference w:id="1"/>
      </w:r>
      <w:r w:rsidRPr="00A9310F">
        <w:rPr>
          <w:i/>
          <w:iCs/>
          <w:lang w:val="sr-Latn-RS"/>
        </w:rPr>
        <w:t xml:space="preserve"> Saveznog ministarstva za ekonomsku saradnju i razvoj (BMZ). Za sadržaj je isključivo odgovorna Fondacija SOS Dečija sela Srbija i on </w:t>
      </w:r>
      <w:r w:rsidR="00D06DA7" w:rsidRPr="00A9310F">
        <w:rPr>
          <w:i/>
          <w:iCs/>
          <w:lang w:val="sr-Latn-RS"/>
        </w:rPr>
        <w:t xml:space="preserve">nužno </w:t>
      </w:r>
      <w:r w:rsidRPr="00A9310F">
        <w:rPr>
          <w:i/>
          <w:iCs/>
          <w:lang w:val="sr-Latn-RS"/>
        </w:rPr>
        <w:t>ne odražava stavove BMZ.</w:t>
      </w:r>
    </w:p>
    <w:p w14:paraId="1CE62C5A" w14:textId="77777777" w:rsidR="005E128B" w:rsidRPr="00A9310F" w:rsidRDefault="005E128B" w:rsidP="005E128B">
      <w:pPr>
        <w:rPr>
          <w:lang w:val="sr-Latn-RS"/>
        </w:rPr>
      </w:pPr>
      <w:r w:rsidRPr="00A9310F">
        <w:rPr>
          <w:lang w:val="sr-Latn-RS"/>
        </w:rPr>
        <w:br w:type="page"/>
      </w:r>
    </w:p>
    <w:p w14:paraId="5B7A8DFD" w14:textId="0A2FDA53" w:rsidR="00555DF5" w:rsidRPr="00A9310F" w:rsidRDefault="004259FD" w:rsidP="004D3478">
      <w:pPr>
        <w:pStyle w:val="Heading1"/>
        <w:spacing w:before="140"/>
        <w:rPr>
          <w:rFonts w:asciiTheme="minorHAnsi" w:hAnsiTheme="minorHAnsi" w:cstheme="minorHAnsi"/>
          <w:b/>
          <w:bCs/>
          <w:sz w:val="22"/>
          <w:szCs w:val="22"/>
          <w:lang w:val="sr-Latn-RS"/>
        </w:rPr>
      </w:pPr>
      <w:bookmarkStart w:id="0" w:name="_Toc215772686"/>
      <w:r w:rsidRPr="00A9310F">
        <w:rPr>
          <w:lang w:val="sr-Latn-RS"/>
        </w:rPr>
        <w:lastRenderedPageBreak/>
        <w:t xml:space="preserve">Za donosioce odluka na nacionalnom i lokalnom nivou </w:t>
      </w:r>
      <w:bookmarkEnd w:id="0"/>
    </w:p>
    <w:p w14:paraId="0892E442" w14:textId="77777777" w:rsidR="00555DF5" w:rsidRPr="00A9310F" w:rsidRDefault="00555DF5" w:rsidP="00EF3AFF">
      <w:pPr>
        <w:pStyle w:val="Default"/>
        <w:spacing w:line="276" w:lineRule="auto"/>
        <w:jc w:val="both"/>
        <w:rPr>
          <w:rFonts w:asciiTheme="minorHAnsi" w:hAnsiTheme="minorHAnsi" w:cstheme="minorHAnsi"/>
          <w:b/>
          <w:bCs/>
          <w:sz w:val="22"/>
          <w:szCs w:val="22"/>
          <w:lang w:val="sr-Latn-RS"/>
        </w:rPr>
      </w:pPr>
    </w:p>
    <w:p w14:paraId="16F8AC38" w14:textId="77777777" w:rsidR="00555DF5" w:rsidRPr="00A9310F" w:rsidRDefault="00555DF5" w:rsidP="00EF3AFF">
      <w:pPr>
        <w:pStyle w:val="Default"/>
        <w:spacing w:line="276" w:lineRule="auto"/>
        <w:jc w:val="both"/>
        <w:rPr>
          <w:rFonts w:asciiTheme="minorHAnsi" w:hAnsiTheme="minorHAnsi" w:cstheme="minorHAnsi"/>
          <w:b/>
          <w:bCs/>
          <w:sz w:val="22"/>
          <w:szCs w:val="22"/>
          <w:lang w:val="sr-Latn-RS"/>
        </w:rPr>
      </w:pPr>
    </w:p>
    <w:p w14:paraId="3F4F8752" w14:textId="5C83B808" w:rsidR="00EF3AFF" w:rsidRPr="00A9310F" w:rsidRDefault="00EF3AFF" w:rsidP="00EF3AFF">
      <w:pPr>
        <w:pStyle w:val="Default"/>
        <w:spacing w:line="276" w:lineRule="auto"/>
        <w:jc w:val="both"/>
        <w:rPr>
          <w:rFonts w:asciiTheme="minorHAnsi" w:hAnsiTheme="minorHAnsi" w:cstheme="minorHAnsi"/>
          <w:b/>
          <w:bCs/>
          <w:sz w:val="28"/>
          <w:szCs w:val="28"/>
          <w:lang w:val="sr-Latn-RS"/>
        </w:rPr>
      </w:pPr>
      <w:r w:rsidRPr="00A9310F">
        <w:rPr>
          <w:rFonts w:asciiTheme="minorHAnsi" w:hAnsiTheme="minorHAnsi" w:cstheme="minorHAnsi"/>
          <w:b/>
          <w:bCs/>
          <w:sz w:val="28"/>
          <w:szCs w:val="28"/>
          <w:lang w:val="sr-Latn-RS"/>
        </w:rPr>
        <w:t>Ministarstvo za rad, zapošljavanje, boračka i socijalna pitanja</w:t>
      </w:r>
    </w:p>
    <w:p w14:paraId="69073A3D" w14:textId="77777777" w:rsidR="00EF3AFF" w:rsidRPr="00A9310F" w:rsidRDefault="00EF3AFF" w:rsidP="00EF3AFF">
      <w:pPr>
        <w:pStyle w:val="Default"/>
        <w:spacing w:line="276" w:lineRule="auto"/>
        <w:jc w:val="both"/>
        <w:rPr>
          <w:rFonts w:asciiTheme="minorHAnsi" w:hAnsiTheme="minorHAnsi" w:cstheme="minorHAnsi"/>
          <w:b/>
          <w:bCs/>
          <w:sz w:val="28"/>
          <w:szCs w:val="28"/>
          <w:lang w:val="sr-Latn-RS"/>
        </w:rPr>
      </w:pPr>
      <w:r w:rsidRPr="00A9310F">
        <w:rPr>
          <w:rFonts w:asciiTheme="minorHAnsi" w:hAnsiTheme="minorHAnsi" w:cstheme="minorHAnsi"/>
          <w:b/>
          <w:bCs/>
          <w:sz w:val="28"/>
          <w:szCs w:val="28"/>
          <w:lang w:val="sr-Latn-RS"/>
        </w:rPr>
        <w:t xml:space="preserve">Savet za socijalno preduzetništvo </w:t>
      </w:r>
    </w:p>
    <w:p w14:paraId="5552341D" w14:textId="4297346D" w:rsidR="00EF3AFF" w:rsidRPr="00A9310F" w:rsidRDefault="00EF3AFF" w:rsidP="00EF3AFF">
      <w:pPr>
        <w:pStyle w:val="Default"/>
        <w:spacing w:line="276" w:lineRule="auto"/>
        <w:jc w:val="both"/>
        <w:rPr>
          <w:rFonts w:asciiTheme="minorHAnsi" w:hAnsiTheme="minorHAnsi" w:cstheme="minorHAnsi"/>
          <w:b/>
          <w:bCs/>
          <w:sz w:val="28"/>
          <w:szCs w:val="28"/>
          <w:lang w:val="sr-Latn-RS"/>
        </w:rPr>
      </w:pPr>
      <w:r w:rsidRPr="00A9310F">
        <w:rPr>
          <w:rFonts w:asciiTheme="minorHAnsi" w:hAnsiTheme="minorHAnsi" w:cstheme="minorHAnsi"/>
          <w:b/>
          <w:bCs/>
          <w:sz w:val="28"/>
          <w:szCs w:val="28"/>
          <w:lang w:val="sr-Latn-RS"/>
        </w:rPr>
        <w:t>Kneza Miloša 20</w:t>
      </w:r>
    </w:p>
    <w:p w14:paraId="4DA62356" w14:textId="6FB129DB" w:rsidR="00EF3AFF" w:rsidRPr="00A9310F" w:rsidRDefault="00EF3AFF" w:rsidP="00EF3AFF">
      <w:pPr>
        <w:pStyle w:val="Default"/>
        <w:spacing w:line="276" w:lineRule="auto"/>
        <w:jc w:val="both"/>
        <w:rPr>
          <w:rFonts w:asciiTheme="minorHAnsi" w:hAnsiTheme="minorHAnsi" w:cstheme="minorHAnsi"/>
          <w:b/>
          <w:bCs/>
          <w:sz w:val="28"/>
          <w:szCs w:val="28"/>
          <w:lang w:val="sr-Latn-RS"/>
        </w:rPr>
      </w:pPr>
      <w:r w:rsidRPr="00A9310F">
        <w:rPr>
          <w:rFonts w:asciiTheme="minorHAnsi" w:hAnsiTheme="minorHAnsi" w:cstheme="minorHAnsi"/>
          <w:b/>
          <w:bCs/>
          <w:sz w:val="28"/>
          <w:szCs w:val="28"/>
          <w:lang w:val="sr-Latn-RS"/>
        </w:rPr>
        <w:t>Beograd</w:t>
      </w:r>
    </w:p>
    <w:p w14:paraId="577EBEB3" w14:textId="77777777" w:rsidR="001A7EF2" w:rsidRPr="00A9310F" w:rsidRDefault="001A7EF2" w:rsidP="001A7EF2">
      <w:pPr>
        <w:shd w:val="clear" w:color="auto" w:fill="FFFFFF"/>
        <w:spacing w:after="0" w:line="276" w:lineRule="auto"/>
        <w:jc w:val="both"/>
        <w:rPr>
          <w:rFonts w:cstheme="minorHAnsi"/>
          <w:sz w:val="28"/>
          <w:szCs w:val="28"/>
          <w:lang w:val="sr-Latn-RS"/>
        </w:rPr>
      </w:pPr>
      <w:r w:rsidRPr="00A9310F">
        <w:rPr>
          <w:rFonts w:cstheme="minorHAnsi"/>
          <w:sz w:val="28"/>
          <w:szCs w:val="28"/>
          <w:lang w:val="sr-Latn-RS"/>
        </w:rPr>
        <w:t xml:space="preserve">E-mail: </w:t>
      </w:r>
      <w:r w:rsidRPr="00A9310F">
        <w:rPr>
          <w:rFonts w:cstheme="minorHAnsi"/>
          <w:sz w:val="28"/>
          <w:szCs w:val="28"/>
          <w:shd w:val="clear" w:color="auto" w:fill="FFFFFF"/>
          <w:lang w:val="sr-Latn-RS"/>
        </w:rPr>
        <w:t>rad.zaposljavanje@minrzs.gov.rs</w:t>
      </w:r>
    </w:p>
    <w:p w14:paraId="7A9F975D" w14:textId="77777777" w:rsidR="001A7EF2" w:rsidRPr="00A9310F" w:rsidRDefault="001A7EF2" w:rsidP="00EF3AFF">
      <w:pPr>
        <w:pStyle w:val="Default"/>
        <w:spacing w:line="276" w:lineRule="auto"/>
        <w:jc w:val="both"/>
        <w:rPr>
          <w:rFonts w:asciiTheme="minorHAnsi" w:hAnsiTheme="minorHAnsi" w:cstheme="minorHAnsi"/>
          <w:b/>
          <w:bCs/>
          <w:sz w:val="28"/>
          <w:szCs w:val="28"/>
          <w:lang w:val="sr-Latn-RS"/>
        </w:rPr>
      </w:pPr>
    </w:p>
    <w:p w14:paraId="02F68D56" w14:textId="4798DEB4" w:rsidR="00EF3AFF" w:rsidRPr="00A9310F" w:rsidRDefault="00EF3AFF" w:rsidP="00EF3AFF">
      <w:pPr>
        <w:pStyle w:val="Default"/>
        <w:spacing w:line="276" w:lineRule="auto"/>
        <w:jc w:val="both"/>
        <w:rPr>
          <w:rFonts w:asciiTheme="minorHAnsi" w:hAnsiTheme="minorHAnsi" w:cstheme="minorHAnsi"/>
          <w:b/>
          <w:bCs/>
          <w:sz w:val="22"/>
          <w:szCs w:val="22"/>
          <w:lang w:val="sr-Latn-RS"/>
        </w:rPr>
      </w:pPr>
    </w:p>
    <w:p w14:paraId="4EA47DA7" w14:textId="5CCD0045" w:rsidR="00EF3AFF" w:rsidRPr="00A9310F" w:rsidRDefault="00EF3AFF" w:rsidP="00EF3AFF">
      <w:pPr>
        <w:pStyle w:val="Default"/>
        <w:spacing w:line="276" w:lineRule="auto"/>
        <w:jc w:val="both"/>
        <w:rPr>
          <w:rFonts w:asciiTheme="minorHAnsi" w:hAnsiTheme="minorHAnsi" w:cstheme="minorHAnsi"/>
          <w:b/>
          <w:bCs/>
          <w:sz w:val="22"/>
          <w:szCs w:val="22"/>
          <w:lang w:val="sr-Latn-RS"/>
        </w:rPr>
      </w:pPr>
      <w:r w:rsidRPr="00A9310F">
        <w:rPr>
          <w:rFonts w:asciiTheme="minorHAnsi" w:hAnsiTheme="minorHAnsi" w:cstheme="minorHAnsi"/>
          <w:b/>
          <w:bCs/>
          <w:sz w:val="22"/>
          <w:szCs w:val="22"/>
          <w:lang w:val="sr-Latn-RS"/>
        </w:rPr>
        <w:t xml:space="preserve">Predmet: </w:t>
      </w:r>
      <w:r w:rsidR="00D06DA7" w:rsidRPr="00A9310F">
        <w:rPr>
          <w:rFonts w:asciiTheme="minorHAnsi" w:hAnsiTheme="minorHAnsi" w:cstheme="minorHAnsi"/>
          <w:b/>
          <w:bCs/>
          <w:sz w:val="22"/>
          <w:szCs w:val="22"/>
          <w:lang w:val="sr-Latn-RS"/>
        </w:rPr>
        <w:t>P</w:t>
      </w:r>
      <w:r w:rsidRPr="00A9310F">
        <w:rPr>
          <w:rFonts w:asciiTheme="minorHAnsi" w:hAnsiTheme="minorHAnsi" w:cstheme="minorHAnsi"/>
          <w:b/>
          <w:bCs/>
          <w:sz w:val="22"/>
          <w:szCs w:val="22"/>
          <w:lang w:val="sr-Latn-RS"/>
        </w:rPr>
        <w:t>reporuke za unapređenje zapošljivosti mladih i posebno mladih u riziku</w:t>
      </w:r>
    </w:p>
    <w:p w14:paraId="4DA4EE45" w14:textId="20D23297" w:rsidR="00BD6E5C" w:rsidRPr="00A9310F" w:rsidRDefault="00BD6E5C" w:rsidP="006A4D51">
      <w:pPr>
        <w:shd w:val="clear" w:color="auto" w:fill="FFFFFF" w:themeFill="background1"/>
        <w:spacing w:before="360" w:after="360" w:line="276" w:lineRule="auto"/>
        <w:jc w:val="both"/>
        <w:rPr>
          <w:rFonts w:cstheme="minorHAnsi"/>
          <w:color w:val="1F1F1F"/>
          <w:lang w:val="sr-Latn-RS"/>
        </w:rPr>
      </w:pPr>
      <w:r w:rsidRPr="00A9310F">
        <w:rPr>
          <w:rFonts w:cstheme="minorHAnsi"/>
          <w:lang w:val="sr-Latn-RS"/>
        </w:rPr>
        <w:t xml:space="preserve">Ove preporuke nastale </w:t>
      </w:r>
      <w:r w:rsidR="00D06DA7" w:rsidRPr="00A9310F">
        <w:rPr>
          <w:rFonts w:cstheme="minorHAnsi"/>
          <w:lang w:val="sr-Latn-RS"/>
        </w:rPr>
        <w:t xml:space="preserve">su </w:t>
      </w:r>
      <w:r w:rsidRPr="00A9310F">
        <w:rPr>
          <w:rFonts w:cstheme="minorHAnsi"/>
          <w:lang w:val="sr-Latn-RS"/>
        </w:rPr>
        <w:t xml:space="preserve">u sklopu širih aktivnosti Fondacije SOS Dečija sela, koje se odnose na praćenje i analizu </w:t>
      </w:r>
      <w:r w:rsidRPr="00A9310F">
        <w:rPr>
          <w:rFonts w:cstheme="minorHAnsi"/>
          <w:color w:val="1F1F1F"/>
          <w:lang w:val="sr-Latn-RS"/>
        </w:rPr>
        <w:t xml:space="preserve">javnih politika na republičkom, pokrajinskom i lokalnom nivou </w:t>
      </w:r>
      <w:r w:rsidR="00297251" w:rsidRPr="00A9310F">
        <w:rPr>
          <w:rFonts w:cstheme="minorHAnsi"/>
          <w:color w:val="1F1F1F"/>
          <w:lang w:val="sr-Latn-RS"/>
        </w:rPr>
        <w:t>od</w:t>
      </w:r>
      <w:r w:rsidRPr="00A9310F">
        <w:rPr>
          <w:rFonts w:cstheme="minorHAnsi"/>
          <w:color w:val="1F1F1F"/>
          <w:lang w:val="sr-Latn-RS"/>
        </w:rPr>
        <w:t xml:space="preserve"> uticaja na položaj mladih u riziku i posebno položaj mladih koji napuštaju sistem alternativnog staranja. Razvijene su u okviru </w:t>
      </w:r>
      <w:r w:rsidR="00297251" w:rsidRPr="00A9310F">
        <w:rPr>
          <w:rFonts w:cstheme="minorHAnsi"/>
          <w:color w:val="1F1F1F"/>
          <w:lang w:val="sr-Latn-RS"/>
        </w:rPr>
        <w:t>r</w:t>
      </w:r>
      <w:r w:rsidRPr="00A9310F">
        <w:rPr>
          <w:rFonts w:cstheme="minorHAnsi"/>
          <w:color w:val="1F1F1F"/>
          <w:lang w:val="sr-Latn-RS"/>
        </w:rPr>
        <w:t xml:space="preserve">egionalnog projekta SOS Dečija sela „Jaki mladi – nove perspektive” (Youth Employment Creates Future Prospects, YEEP II), u delu koji sprovodi Fondacija. </w:t>
      </w:r>
      <w:r w:rsidR="00F73848" w:rsidRPr="00A9310F">
        <w:rPr>
          <w:rFonts w:cstheme="minorHAnsi"/>
          <w:color w:val="1F1F1F"/>
          <w:lang w:val="sr-Latn-RS"/>
        </w:rPr>
        <w:t xml:space="preserve">U okviru </w:t>
      </w:r>
      <w:r w:rsidRPr="00A9310F">
        <w:rPr>
          <w:rFonts w:cstheme="minorHAnsi"/>
          <w:color w:val="1F1F1F"/>
          <w:lang w:val="sr-Latn-RS"/>
        </w:rPr>
        <w:t xml:space="preserve">projekta </w:t>
      </w:r>
      <w:r w:rsidR="00F73848" w:rsidRPr="00A9310F">
        <w:rPr>
          <w:rFonts w:cstheme="minorHAnsi"/>
          <w:color w:val="1F1F1F"/>
          <w:lang w:val="sr-Latn-RS"/>
        </w:rPr>
        <w:t xml:space="preserve">YEEP II obrazovano </w:t>
      </w:r>
      <w:r w:rsidR="00297251" w:rsidRPr="00A9310F">
        <w:rPr>
          <w:rFonts w:cstheme="minorHAnsi"/>
          <w:color w:val="1F1F1F"/>
          <w:lang w:val="sr-Latn-RS"/>
        </w:rPr>
        <w:t xml:space="preserve">je </w:t>
      </w:r>
      <w:r w:rsidR="00F73848" w:rsidRPr="00A9310F">
        <w:rPr>
          <w:rFonts w:cstheme="minorHAnsi"/>
          <w:color w:val="1F1F1F"/>
          <w:lang w:val="sr-Latn-RS"/>
        </w:rPr>
        <w:t xml:space="preserve">i šest </w:t>
      </w:r>
      <w:r w:rsidR="00297251" w:rsidRPr="00A9310F">
        <w:rPr>
          <w:rFonts w:cstheme="minorHAnsi"/>
          <w:color w:val="1F1F1F"/>
          <w:lang w:val="sr-Latn-RS"/>
        </w:rPr>
        <w:t>o</w:t>
      </w:r>
      <w:r w:rsidR="00F73848" w:rsidRPr="00A9310F">
        <w:rPr>
          <w:rFonts w:cstheme="minorHAnsi"/>
          <w:color w:val="1F1F1F"/>
          <w:lang w:val="sr-Latn-RS"/>
        </w:rPr>
        <w:t>mla</w:t>
      </w:r>
      <w:r w:rsidRPr="00A9310F">
        <w:rPr>
          <w:rFonts w:cstheme="minorHAnsi"/>
          <w:color w:val="1F1F1F"/>
          <w:lang w:val="sr-Latn-RS"/>
        </w:rPr>
        <w:t>dinski</w:t>
      </w:r>
      <w:r w:rsidR="00F73848" w:rsidRPr="00A9310F">
        <w:rPr>
          <w:rFonts w:cstheme="minorHAnsi"/>
          <w:color w:val="1F1F1F"/>
          <w:lang w:val="sr-Latn-RS"/>
        </w:rPr>
        <w:t>h</w:t>
      </w:r>
      <w:r w:rsidRPr="00A9310F">
        <w:rPr>
          <w:rFonts w:cstheme="minorHAnsi"/>
          <w:color w:val="1F1F1F"/>
          <w:lang w:val="sr-Latn-RS"/>
        </w:rPr>
        <w:t xml:space="preserve"> klubov</w:t>
      </w:r>
      <w:r w:rsidR="00F73848" w:rsidRPr="00A9310F">
        <w:rPr>
          <w:rFonts w:cstheme="minorHAnsi"/>
          <w:color w:val="1F1F1F"/>
          <w:lang w:val="sr-Latn-RS"/>
        </w:rPr>
        <w:t xml:space="preserve">a, u svakom gradu, odnosno opštini po jedan, a u saradnji sa partnerskim organizacijama </w:t>
      </w:r>
      <w:r w:rsidRPr="00A9310F">
        <w:rPr>
          <w:rFonts w:cstheme="minorHAnsi"/>
          <w:color w:val="1F1F1F"/>
          <w:lang w:val="sr-Latn-RS"/>
        </w:rPr>
        <w:t xml:space="preserve">Somborski edukativni centar, FORCA Požega, Edukativni centar Kruševac, Uradimo zajedno iz Kragujevca i TOC </w:t>
      </w:r>
      <w:r w:rsidR="00297251" w:rsidRPr="00A9310F">
        <w:rPr>
          <w:rFonts w:cstheme="minorHAnsi"/>
          <w:color w:val="1F1F1F"/>
          <w:lang w:val="sr-Latn-RS"/>
        </w:rPr>
        <w:t>‒</w:t>
      </w:r>
      <w:r w:rsidRPr="00A9310F">
        <w:rPr>
          <w:rFonts w:cstheme="minorHAnsi"/>
          <w:color w:val="1F1F1F"/>
          <w:lang w:val="sr-Latn-RS"/>
        </w:rPr>
        <w:t xml:space="preserve"> Asocijacija za razvoj održivih zajednica iz Zaječara. Na osnovu procene zagovaračkih kapaciteta, u </w:t>
      </w:r>
      <w:r w:rsidR="00297251" w:rsidRPr="00A9310F">
        <w:rPr>
          <w:rFonts w:cstheme="minorHAnsi"/>
          <w:color w:val="1F1F1F"/>
          <w:lang w:val="sr-Latn-RS"/>
        </w:rPr>
        <w:t>o</w:t>
      </w:r>
      <w:r w:rsidRPr="00A9310F">
        <w:rPr>
          <w:rFonts w:cstheme="minorHAnsi"/>
          <w:color w:val="1F1F1F"/>
          <w:lang w:val="sr-Latn-RS"/>
        </w:rPr>
        <w:t>mladinskim klubovima se</w:t>
      </w:r>
      <w:r w:rsidR="00F73848" w:rsidRPr="00A9310F">
        <w:rPr>
          <w:rFonts w:cstheme="minorHAnsi"/>
          <w:color w:val="1F1F1F"/>
          <w:lang w:val="sr-Latn-RS"/>
        </w:rPr>
        <w:t>, u koordinaciji sa NAPOR-om</w:t>
      </w:r>
      <w:r w:rsidR="004B5EA1" w:rsidRPr="00A9310F">
        <w:rPr>
          <w:rFonts w:cstheme="minorHAnsi"/>
          <w:color w:val="1F1F1F"/>
          <w:lang w:val="sr-Latn-RS"/>
        </w:rPr>
        <w:t xml:space="preserve">, </w:t>
      </w:r>
      <w:r w:rsidRPr="00A9310F">
        <w:rPr>
          <w:rFonts w:cstheme="minorHAnsi"/>
          <w:color w:val="1F1F1F"/>
          <w:lang w:val="sr-Latn-RS"/>
        </w:rPr>
        <w:t>identifikuju mladi koji bi dugoročno mogli da utiču, kroz same klubove a i na brojne druge načine, na unapređenje položaja mladih</w:t>
      </w:r>
      <w:r w:rsidR="00F73848" w:rsidRPr="00A9310F">
        <w:rPr>
          <w:rFonts w:cstheme="minorHAnsi"/>
          <w:color w:val="1F1F1F"/>
          <w:lang w:val="sr-Latn-RS"/>
        </w:rPr>
        <w:t xml:space="preserve"> i posebno mladih u riziku</w:t>
      </w:r>
      <w:r w:rsidRPr="00A9310F">
        <w:rPr>
          <w:rFonts w:cstheme="minorHAnsi"/>
          <w:color w:val="1F1F1F"/>
          <w:lang w:val="sr-Latn-RS"/>
        </w:rPr>
        <w:t xml:space="preserve">. </w:t>
      </w:r>
    </w:p>
    <w:p w14:paraId="1946BEE2" w14:textId="25D28D8F" w:rsidR="00BD6E5C" w:rsidRPr="00A9310F" w:rsidRDefault="004B5EA1" w:rsidP="006A4D51">
      <w:pPr>
        <w:pStyle w:val="Default"/>
        <w:spacing w:line="276" w:lineRule="auto"/>
        <w:jc w:val="both"/>
        <w:rPr>
          <w:rFonts w:asciiTheme="minorHAnsi" w:hAnsiTheme="minorHAnsi" w:cstheme="minorHAnsi"/>
          <w:sz w:val="22"/>
          <w:szCs w:val="22"/>
          <w:lang w:val="sr-Latn-RS"/>
        </w:rPr>
      </w:pPr>
      <w:r w:rsidRPr="00A9310F">
        <w:rPr>
          <w:rFonts w:asciiTheme="minorHAnsi" w:hAnsiTheme="minorHAnsi" w:cstheme="minorHAnsi"/>
          <w:color w:val="1F1F1F"/>
          <w:sz w:val="22"/>
          <w:szCs w:val="22"/>
          <w:lang w:val="sr-Latn-RS"/>
        </w:rPr>
        <w:t>P</w:t>
      </w:r>
      <w:r w:rsidR="00BD6E5C" w:rsidRPr="00A9310F">
        <w:rPr>
          <w:rFonts w:asciiTheme="minorHAnsi" w:hAnsiTheme="minorHAnsi" w:cstheme="minorHAnsi"/>
          <w:color w:val="1F1F1F"/>
          <w:sz w:val="22"/>
          <w:szCs w:val="22"/>
          <w:lang w:val="sr-Latn-RS"/>
        </w:rPr>
        <w:t xml:space="preserve">reporuke </w:t>
      </w:r>
      <w:r w:rsidRPr="00A9310F">
        <w:rPr>
          <w:rFonts w:asciiTheme="minorHAnsi" w:hAnsiTheme="minorHAnsi" w:cstheme="minorHAnsi"/>
          <w:color w:val="1F1F1F"/>
          <w:sz w:val="22"/>
          <w:szCs w:val="22"/>
          <w:lang w:val="sr-Latn-RS"/>
        </w:rPr>
        <w:t xml:space="preserve">čiji je cilj </w:t>
      </w:r>
      <w:r w:rsidRPr="00A9310F">
        <w:rPr>
          <w:rFonts w:asciiTheme="minorHAnsi" w:hAnsiTheme="minorHAnsi" w:cstheme="minorHAnsi"/>
          <w:sz w:val="22"/>
          <w:szCs w:val="22"/>
          <w:lang w:val="sr-Latn-RS"/>
        </w:rPr>
        <w:t xml:space="preserve">sagledavanje postojećih mogućnosti za povećanje zapošljivosti mladih koji nisu u </w:t>
      </w:r>
      <w:r w:rsidR="00461E57" w:rsidRPr="00A9310F">
        <w:rPr>
          <w:rFonts w:asciiTheme="minorHAnsi" w:hAnsiTheme="minorHAnsi" w:cstheme="minorHAnsi"/>
          <w:sz w:val="22"/>
          <w:szCs w:val="22"/>
          <w:lang w:val="sr-Latn-RS"/>
        </w:rPr>
        <w:t xml:space="preserve">sistemu </w:t>
      </w:r>
      <w:r w:rsidRPr="00A9310F">
        <w:rPr>
          <w:rFonts w:asciiTheme="minorHAnsi" w:hAnsiTheme="minorHAnsi" w:cstheme="minorHAnsi"/>
          <w:sz w:val="22"/>
          <w:szCs w:val="22"/>
          <w:lang w:val="sr-Latn-RS"/>
        </w:rPr>
        <w:t>obrazovanj</w:t>
      </w:r>
      <w:r w:rsidR="00461E57" w:rsidRPr="00A9310F">
        <w:rPr>
          <w:rFonts w:asciiTheme="minorHAnsi" w:hAnsiTheme="minorHAnsi" w:cstheme="minorHAnsi"/>
          <w:sz w:val="22"/>
          <w:szCs w:val="22"/>
          <w:lang w:val="sr-Latn-RS"/>
        </w:rPr>
        <w:t>a</w:t>
      </w:r>
      <w:r w:rsidRPr="00A9310F">
        <w:rPr>
          <w:rFonts w:asciiTheme="minorHAnsi" w:hAnsiTheme="minorHAnsi" w:cstheme="minorHAnsi"/>
          <w:sz w:val="22"/>
          <w:szCs w:val="22"/>
          <w:lang w:val="sr-Latn-RS"/>
        </w:rPr>
        <w:t>, zapošljavanj</w:t>
      </w:r>
      <w:r w:rsidR="00461E57" w:rsidRPr="00A9310F">
        <w:rPr>
          <w:rFonts w:asciiTheme="minorHAnsi" w:hAnsiTheme="minorHAnsi" w:cstheme="minorHAnsi"/>
          <w:sz w:val="22"/>
          <w:szCs w:val="22"/>
          <w:lang w:val="sr-Latn-RS"/>
        </w:rPr>
        <w:t>a</w:t>
      </w:r>
      <w:r w:rsidRPr="00A9310F">
        <w:rPr>
          <w:rFonts w:asciiTheme="minorHAnsi" w:hAnsiTheme="minorHAnsi" w:cstheme="minorHAnsi"/>
          <w:sz w:val="22"/>
          <w:szCs w:val="22"/>
          <w:lang w:val="sr-Latn-RS"/>
        </w:rPr>
        <w:t xml:space="preserve"> i obu</w:t>
      </w:r>
      <w:r w:rsidR="00461E57" w:rsidRPr="00A9310F">
        <w:rPr>
          <w:rFonts w:asciiTheme="minorHAnsi" w:hAnsiTheme="minorHAnsi" w:cstheme="minorHAnsi"/>
          <w:sz w:val="22"/>
          <w:szCs w:val="22"/>
          <w:lang w:val="sr-Latn-RS"/>
        </w:rPr>
        <w:t>ke</w:t>
      </w:r>
      <w:r w:rsidRPr="00A9310F">
        <w:rPr>
          <w:rFonts w:asciiTheme="minorHAnsi" w:hAnsiTheme="minorHAnsi" w:cstheme="minorHAnsi"/>
          <w:sz w:val="22"/>
          <w:szCs w:val="22"/>
          <w:lang w:val="sr-Latn-RS"/>
        </w:rPr>
        <w:t>, sa posebnim fokusom na mlade koji napuštaju sistem alternativnog staranja,</w:t>
      </w:r>
      <w:r w:rsidRPr="00A9310F">
        <w:rPr>
          <w:rFonts w:asciiTheme="minorHAnsi" w:hAnsiTheme="minorHAnsi" w:cstheme="minorHAnsi"/>
          <w:color w:val="1F1F1F"/>
          <w:sz w:val="22"/>
          <w:szCs w:val="22"/>
          <w:lang w:val="sr-Latn-RS"/>
        </w:rPr>
        <w:t xml:space="preserve"> </w:t>
      </w:r>
      <w:r w:rsidR="00297251" w:rsidRPr="00A9310F">
        <w:rPr>
          <w:rFonts w:asciiTheme="minorHAnsi" w:hAnsiTheme="minorHAnsi" w:cstheme="minorHAnsi"/>
          <w:color w:val="1F1F1F"/>
          <w:sz w:val="22"/>
          <w:szCs w:val="22"/>
          <w:lang w:val="sr-Latn-RS"/>
        </w:rPr>
        <w:t>predstavljaju</w:t>
      </w:r>
      <w:r w:rsidR="00BD6E5C" w:rsidRPr="00A9310F">
        <w:rPr>
          <w:rFonts w:asciiTheme="minorHAnsi" w:hAnsiTheme="minorHAnsi" w:cstheme="minorHAnsi"/>
          <w:color w:val="1F1F1F"/>
          <w:sz w:val="22"/>
          <w:szCs w:val="22"/>
          <w:lang w:val="sr-Latn-RS"/>
        </w:rPr>
        <w:t xml:space="preserve"> rezultat detaljnih razgovora, na osnovu s</w:t>
      </w:r>
      <w:r w:rsidR="004259FD" w:rsidRPr="00A9310F">
        <w:rPr>
          <w:rFonts w:asciiTheme="minorHAnsi" w:hAnsiTheme="minorHAnsi" w:cstheme="minorHAnsi"/>
          <w:color w:val="1F1F1F"/>
          <w:sz w:val="22"/>
          <w:szCs w:val="22"/>
          <w:lang w:val="sr-Latn-RS"/>
        </w:rPr>
        <w:t>trukturisanih</w:t>
      </w:r>
      <w:r w:rsidR="00BD6E5C" w:rsidRPr="00A9310F">
        <w:rPr>
          <w:rFonts w:asciiTheme="minorHAnsi" w:hAnsiTheme="minorHAnsi" w:cstheme="minorHAnsi"/>
          <w:color w:val="1F1F1F"/>
          <w:sz w:val="22"/>
          <w:szCs w:val="22"/>
          <w:lang w:val="sr-Latn-RS"/>
        </w:rPr>
        <w:t xml:space="preserve"> upitnika, sa predstavnicima svih partnerskih organizacija uključenih u projekat „Jaki mladi – nove perspektive”</w:t>
      </w:r>
      <w:r w:rsidR="00297251" w:rsidRPr="00A9310F">
        <w:rPr>
          <w:rFonts w:asciiTheme="minorHAnsi" w:hAnsiTheme="minorHAnsi" w:cstheme="minorHAnsi"/>
          <w:color w:val="1F1F1F"/>
          <w:sz w:val="22"/>
          <w:szCs w:val="22"/>
          <w:lang w:val="sr-Latn-RS"/>
        </w:rPr>
        <w:t xml:space="preserve">. </w:t>
      </w:r>
      <w:r w:rsidR="00BD6E5C" w:rsidRPr="00A9310F">
        <w:rPr>
          <w:rFonts w:asciiTheme="minorHAnsi" w:hAnsiTheme="minorHAnsi" w:cstheme="minorHAnsi"/>
          <w:sz w:val="22"/>
          <w:szCs w:val="22"/>
          <w:lang w:val="sr-Latn-RS"/>
        </w:rPr>
        <w:t>Na šest onlajn fokus grupa</w:t>
      </w:r>
      <w:r w:rsidR="0018721C" w:rsidRPr="00A9310F">
        <w:rPr>
          <w:rFonts w:asciiTheme="minorHAnsi" w:hAnsiTheme="minorHAnsi" w:cstheme="minorHAnsi"/>
          <w:sz w:val="22"/>
          <w:szCs w:val="22"/>
          <w:lang w:val="sr-Latn-RS"/>
        </w:rPr>
        <w:t>,</w:t>
      </w:r>
      <w:r w:rsidR="00BD6E5C" w:rsidRPr="00A9310F">
        <w:rPr>
          <w:rFonts w:asciiTheme="minorHAnsi" w:hAnsiTheme="minorHAnsi" w:cstheme="minorHAnsi"/>
          <w:sz w:val="22"/>
          <w:szCs w:val="22"/>
          <w:lang w:val="sr-Latn-RS"/>
        </w:rPr>
        <w:t xml:space="preserve"> održanih u periodu od 24. do 26. novembra 2025. godine sa mladima iz </w:t>
      </w:r>
      <w:r w:rsidR="00297251" w:rsidRPr="00A9310F">
        <w:rPr>
          <w:rFonts w:asciiTheme="minorHAnsi" w:hAnsiTheme="minorHAnsi" w:cstheme="minorHAnsi"/>
          <w:sz w:val="22"/>
          <w:szCs w:val="22"/>
          <w:lang w:val="sr-Latn-RS"/>
        </w:rPr>
        <w:t>o</w:t>
      </w:r>
      <w:r w:rsidR="00BD6E5C" w:rsidRPr="00A9310F">
        <w:rPr>
          <w:rFonts w:asciiTheme="minorHAnsi" w:hAnsiTheme="minorHAnsi" w:cstheme="minorHAnsi"/>
          <w:sz w:val="22"/>
          <w:szCs w:val="22"/>
          <w:lang w:val="sr-Latn-RS"/>
        </w:rPr>
        <w:t>mladinskih klubova</w:t>
      </w:r>
      <w:r w:rsidR="004259FD" w:rsidRPr="00A9310F">
        <w:rPr>
          <w:rFonts w:asciiTheme="minorHAnsi" w:hAnsiTheme="minorHAnsi" w:cstheme="minorHAnsi"/>
          <w:sz w:val="22"/>
          <w:szCs w:val="22"/>
          <w:lang w:val="sr-Latn-RS"/>
        </w:rPr>
        <w:t>, mladima koji su u procesu tranzicije ili već imaju iskustvo napuštanja sistema alternativnog staranja</w:t>
      </w:r>
      <w:r w:rsidR="00BD6E5C" w:rsidRPr="00A9310F">
        <w:rPr>
          <w:rFonts w:asciiTheme="minorHAnsi" w:hAnsiTheme="minorHAnsi" w:cstheme="minorHAnsi"/>
          <w:sz w:val="22"/>
          <w:szCs w:val="22"/>
          <w:lang w:val="sr-Latn-RS"/>
        </w:rPr>
        <w:t xml:space="preserve"> i sa drugim mladima </w:t>
      </w:r>
      <w:r w:rsidR="004259FD" w:rsidRPr="00A9310F">
        <w:rPr>
          <w:rFonts w:asciiTheme="minorHAnsi" w:hAnsiTheme="minorHAnsi" w:cstheme="minorHAnsi"/>
          <w:sz w:val="22"/>
          <w:szCs w:val="22"/>
          <w:lang w:val="sr-Latn-RS"/>
        </w:rPr>
        <w:t xml:space="preserve">u </w:t>
      </w:r>
      <w:r w:rsidR="00BD6E5C" w:rsidRPr="00A9310F">
        <w:rPr>
          <w:rFonts w:asciiTheme="minorHAnsi" w:hAnsiTheme="minorHAnsi" w:cstheme="minorHAnsi"/>
          <w:sz w:val="22"/>
          <w:szCs w:val="22"/>
          <w:lang w:val="sr-Latn-RS"/>
        </w:rPr>
        <w:t>riziku</w:t>
      </w:r>
      <w:r w:rsidR="004259FD" w:rsidRPr="00A9310F">
        <w:rPr>
          <w:rFonts w:asciiTheme="minorHAnsi" w:hAnsiTheme="minorHAnsi" w:cstheme="minorHAnsi"/>
          <w:sz w:val="22"/>
          <w:szCs w:val="22"/>
          <w:lang w:val="sr-Latn-RS"/>
        </w:rPr>
        <w:t xml:space="preserve"> </w:t>
      </w:r>
      <w:r w:rsidR="00BD6E5C" w:rsidRPr="00A9310F">
        <w:rPr>
          <w:rFonts w:asciiTheme="minorHAnsi" w:hAnsiTheme="minorHAnsi" w:cstheme="minorHAnsi"/>
          <w:sz w:val="22"/>
          <w:szCs w:val="22"/>
          <w:lang w:val="sr-Latn-RS"/>
        </w:rPr>
        <w:t>iz svih šest lokalnih samouprava</w:t>
      </w:r>
      <w:r w:rsidR="0018721C" w:rsidRPr="00A9310F">
        <w:rPr>
          <w:rFonts w:asciiTheme="minorHAnsi" w:hAnsiTheme="minorHAnsi" w:cstheme="minorHAnsi"/>
          <w:sz w:val="22"/>
          <w:szCs w:val="22"/>
          <w:lang w:val="sr-Latn-RS"/>
        </w:rPr>
        <w:t>,</w:t>
      </w:r>
      <w:r w:rsidR="00BD6E5C" w:rsidRPr="00A9310F">
        <w:rPr>
          <w:rFonts w:asciiTheme="minorHAnsi" w:hAnsiTheme="minorHAnsi" w:cstheme="minorHAnsi"/>
          <w:sz w:val="22"/>
          <w:szCs w:val="22"/>
          <w:lang w:val="sr-Latn-RS"/>
        </w:rPr>
        <w:t xml:space="preserve"> </w:t>
      </w:r>
      <w:r w:rsidR="004259FD" w:rsidRPr="00A9310F">
        <w:rPr>
          <w:rFonts w:asciiTheme="minorHAnsi" w:hAnsiTheme="minorHAnsi" w:cstheme="minorHAnsi"/>
          <w:sz w:val="22"/>
          <w:szCs w:val="22"/>
          <w:lang w:val="sr-Latn-RS"/>
        </w:rPr>
        <w:t xml:space="preserve">predstavljeni </w:t>
      </w:r>
      <w:r w:rsidR="00DA201F" w:rsidRPr="00A9310F">
        <w:rPr>
          <w:rFonts w:asciiTheme="minorHAnsi" w:hAnsiTheme="minorHAnsi" w:cstheme="minorHAnsi"/>
          <w:sz w:val="22"/>
          <w:szCs w:val="22"/>
          <w:lang w:val="sr-Latn-RS"/>
        </w:rPr>
        <w:t xml:space="preserve">su </w:t>
      </w:r>
      <w:r w:rsidR="00BD6E5C" w:rsidRPr="00A9310F">
        <w:rPr>
          <w:rFonts w:asciiTheme="minorHAnsi" w:hAnsiTheme="minorHAnsi" w:cstheme="minorHAnsi"/>
          <w:sz w:val="22"/>
          <w:szCs w:val="22"/>
          <w:lang w:val="sr-Latn-RS"/>
        </w:rPr>
        <w:t xml:space="preserve">predlozi preporuka </w:t>
      </w:r>
      <w:r w:rsidR="004259FD" w:rsidRPr="00A9310F">
        <w:rPr>
          <w:rFonts w:asciiTheme="minorHAnsi" w:hAnsiTheme="minorHAnsi" w:cstheme="minorHAnsi"/>
          <w:sz w:val="22"/>
          <w:szCs w:val="22"/>
          <w:lang w:val="sr-Latn-RS"/>
        </w:rPr>
        <w:t xml:space="preserve">i sa njima izvršena konačna prioritizacija i uobličavanje. </w:t>
      </w:r>
    </w:p>
    <w:p w14:paraId="40BD3072" w14:textId="34F84B9F" w:rsidR="00FA7D8C" w:rsidRPr="00A9310F" w:rsidRDefault="00FA7D8C" w:rsidP="006A4D51">
      <w:pPr>
        <w:pStyle w:val="Default"/>
        <w:spacing w:line="276" w:lineRule="auto"/>
        <w:jc w:val="both"/>
        <w:rPr>
          <w:rFonts w:asciiTheme="minorHAnsi" w:hAnsiTheme="minorHAnsi" w:cstheme="minorHAnsi"/>
          <w:sz w:val="22"/>
          <w:szCs w:val="22"/>
          <w:lang w:val="sr-Latn-RS"/>
        </w:rPr>
      </w:pPr>
    </w:p>
    <w:p w14:paraId="457B4C5B" w14:textId="15CA2039" w:rsidR="006A4D51" w:rsidRPr="00A9310F" w:rsidRDefault="00532E75" w:rsidP="006A4D51">
      <w:pPr>
        <w:pStyle w:val="Default"/>
        <w:spacing w:line="276" w:lineRule="auto"/>
        <w:jc w:val="both"/>
        <w:rPr>
          <w:rFonts w:asciiTheme="minorHAnsi" w:hAnsiTheme="minorHAnsi" w:cstheme="minorHAnsi"/>
          <w:b/>
          <w:bCs/>
          <w:i/>
          <w:iCs/>
          <w:sz w:val="22"/>
          <w:szCs w:val="22"/>
          <w:lang w:val="sr-Latn-RS"/>
        </w:rPr>
      </w:pPr>
      <w:r w:rsidRPr="00A9310F">
        <w:rPr>
          <w:rFonts w:asciiTheme="minorHAnsi" w:hAnsiTheme="minorHAnsi" w:cstheme="minorHAnsi"/>
          <w:b/>
          <w:bCs/>
          <w:i/>
          <w:iCs/>
          <w:sz w:val="22"/>
          <w:szCs w:val="22"/>
          <w:lang w:val="sr-Latn-RS"/>
        </w:rPr>
        <w:t>Strategija razvoja socijalnog preduzetništva</w:t>
      </w:r>
    </w:p>
    <w:p w14:paraId="7EE5A4B6" w14:textId="77777777" w:rsidR="001A7EF2" w:rsidRPr="00A9310F" w:rsidRDefault="001A7EF2" w:rsidP="006A4D51">
      <w:pPr>
        <w:pStyle w:val="Default"/>
        <w:spacing w:line="276" w:lineRule="auto"/>
        <w:jc w:val="both"/>
        <w:rPr>
          <w:rFonts w:asciiTheme="minorHAnsi" w:hAnsiTheme="minorHAnsi" w:cstheme="minorHAnsi"/>
          <w:b/>
          <w:bCs/>
          <w:i/>
          <w:iCs/>
          <w:sz w:val="22"/>
          <w:szCs w:val="22"/>
          <w:lang w:val="sr-Latn-RS"/>
        </w:rPr>
      </w:pPr>
    </w:p>
    <w:p w14:paraId="10EBB6C2" w14:textId="7342E867" w:rsidR="00E16FC8" w:rsidRPr="00A9310F" w:rsidRDefault="006A4D51" w:rsidP="00E16FC8">
      <w:pPr>
        <w:spacing w:line="276" w:lineRule="auto"/>
        <w:jc w:val="both"/>
        <w:rPr>
          <w:lang w:val="sr-Latn-RS"/>
        </w:rPr>
      </w:pPr>
      <w:r w:rsidRPr="00A9310F">
        <w:rPr>
          <w:rFonts w:cstheme="minorHAnsi"/>
          <w:lang w:val="sr-Latn-RS"/>
        </w:rPr>
        <w:t>Iako je u Srbiji pre četiri godine usvojen Zakon o socijalnom preduzetništvu, koji</w:t>
      </w:r>
      <w:r w:rsidR="00297251" w:rsidRPr="00A9310F">
        <w:rPr>
          <w:rFonts w:cstheme="minorHAnsi"/>
          <w:lang w:val="sr-Latn-RS"/>
        </w:rPr>
        <w:t>m je</w:t>
      </w:r>
      <w:r w:rsidRPr="00A9310F">
        <w:rPr>
          <w:rFonts w:cstheme="minorHAnsi"/>
          <w:lang w:val="sr-Latn-RS"/>
        </w:rPr>
        <w:t xml:space="preserve"> uspostavlj</w:t>
      </w:r>
      <w:r w:rsidR="00297251" w:rsidRPr="00A9310F">
        <w:rPr>
          <w:rFonts w:cstheme="minorHAnsi"/>
          <w:lang w:val="sr-Latn-RS"/>
        </w:rPr>
        <w:t>en</w:t>
      </w:r>
      <w:r w:rsidRPr="00A9310F">
        <w:rPr>
          <w:rFonts w:cstheme="minorHAnsi"/>
          <w:lang w:val="sr-Latn-RS"/>
        </w:rPr>
        <w:t xml:space="preserve"> pravni osnov za sticanje statusa socijalnih preduzeća i njihovo funkcionisanje</w:t>
      </w:r>
      <w:r w:rsidR="00297251" w:rsidRPr="00A9310F">
        <w:rPr>
          <w:rFonts w:cstheme="minorHAnsi"/>
          <w:lang w:val="sr-Latn-RS"/>
        </w:rPr>
        <w:t>,</w:t>
      </w:r>
      <w:r w:rsidRPr="00A9310F">
        <w:rPr>
          <w:rFonts w:cstheme="minorHAnsi"/>
          <w:lang w:val="sr-Latn-RS"/>
        </w:rPr>
        <w:t xml:space="preserve"> kao i institucionalne pretpostavke za osnivanje Saveta za razvoj socijalnog preduzetništva, </w:t>
      </w:r>
      <w:r w:rsidR="00052A94" w:rsidRPr="00A9310F">
        <w:rPr>
          <w:rFonts w:cstheme="minorHAnsi"/>
          <w:lang w:val="sr-Latn-RS"/>
        </w:rPr>
        <w:t xml:space="preserve">još uvek ne postoji adekvatan strateški, odnosno planski okvir, kojim bi se uspostavili </w:t>
      </w:r>
      <w:r w:rsidR="00052A94" w:rsidRPr="00A9310F">
        <w:rPr>
          <w:lang w:val="sr-Latn-RS"/>
        </w:rPr>
        <w:t xml:space="preserve">opšti dugoročni ciljevi razvoja socijalnog preduzetništva i definisale </w:t>
      </w:r>
      <w:r w:rsidR="00052A94" w:rsidRPr="00A9310F">
        <w:rPr>
          <w:lang w:val="sr-Latn-RS"/>
        </w:rPr>
        <w:lastRenderedPageBreak/>
        <w:t xml:space="preserve">smernice za povezivanje sektorskih aktivnosti u nadležnosti više ministarstava čijim </w:t>
      </w:r>
      <w:r w:rsidR="00297251" w:rsidRPr="00A9310F">
        <w:rPr>
          <w:lang w:val="sr-Latn-RS"/>
        </w:rPr>
        <w:t xml:space="preserve">bi se </w:t>
      </w:r>
      <w:r w:rsidR="00052A94" w:rsidRPr="00A9310F">
        <w:rPr>
          <w:lang w:val="sr-Latn-RS"/>
        </w:rPr>
        <w:t xml:space="preserve">koordinisanim sadejstvom </w:t>
      </w:r>
      <w:r w:rsidR="00297251" w:rsidRPr="00A9310F">
        <w:rPr>
          <w:lang w:val="sr-Latn-RS"/>
        </w:rPr>
        <w:t xml:space="preserve">stvorilo </w:t>
      </w:r>
      <w:r w:rsidR="00861C28" w:rsidRPr="00A9310F">
        <w:rPr>
          <w:lang w:val="sr-Latn-RS"/>
        </w:rPr>
        <w:t>podsticajno</w:t>
      </w:r>
      <w:r w:rsidR="00052A94" w:rsidRPr="00A9310F">
        <w:rPr>
          <w:lang w:val="sr-Latn-RS"/>
        </w:rPr>
        <w:t xml:space="preserve"> okruženje za razvoj socijaln</w:t>
      </w:r>
      <w:r w:rsidR="0020731A" w:rsidRPr="00A9310F">
        <w:rPr>
          <w:lang w:val="sr-Latn-RS"/>
        </w:rPr>
        <w:t>e ekonomije</w:t>
      </w:r>
      <w:r w:rsidR="00D16496" w:rsidRPr="00A9310F">
        <w:rPr>
          <w:lang w:val="sr-Latn-RS"/>
        </w:rPr>
        <w:t xml:space="preserve"> i</w:t>
      </w:r>
      <w:r w:rsidR="0020731A" w:rsidRPr="00A9310F">
        <w:rPr>
          <w:lang w:val="sr-Latn-RS"/>
        </w:rPr>
        <w:t xml:space="preserve"> </w:t>
      </w:r>
      <w:r w:rsidR="00052A94" w:rsidRPr="00A9310F">
        <w:rPr>
          <w:lang w:val="sr-Latn-RS"/>
        </w:rPr>
        <w:t>osigura</w:t>
      </w:r>
      <w:r w:rsidR="00297251" w:rsidRPr="00A9310F">
        <w:rPr>
          <w:lang w:val="sr-Latn-RS"/>
        </w:rPr>
        <w:t>li</w:t>
      </w:r>
      <w:r w:rsidR="00052A94" w:rsidRPr="00A9310F">
        <w:rPr>
          <w:lang w:val="sr-Latn-RS"/>
        </w:rPr>
        <w:t xml:space="preserve"> fokus i jasan plan za usmeravanje finansijskih i tehničkih resursa</w:t>
      </w:r>
      <w:r w:rsidR="00E16FC8" w:rsidRPr="00A9310F">
        <w:rPr>
          <w:lang w:val="sr-Latn-RS"/>
        </w:rPr>
        <w:t xml:space="preserve"> (podsticajne mere finansijske podrške, subvencionisanje operativnih troškova, poreske olakšice, garancije za kredite i subvencionisane kamatne stope). Ova preduzeća još uvek nemaju pristup ni podsticajnim merama ne</w:t>
      </w:r>
      <w:r w:rsidR="00CD1CFF" w:rsidRPr="00A9310F">
        <w:rPr>
          <w:lang w:val="sr-Latn-RS"/>
        </w:rPr>
        <w:t>fina</w:t>
      </w:r>
      <w:r w:rsidR="006F66DD" w:rsidRPr="00A9310F">
        <w:rPr>
          <w:lang w:val="sr-Latn-RS"/>
        </w:rPr>
        <w:t>n</w:t>
      </w:r>
      <w:r w:rsidR="00CD1CFF" w:rsidRPr="00A9310F">
        <w:rPr>
          <w:lang w:val="sr-Latn-RS"/>
        </w:rPr>
        <w:t xml:space="preserve">sijske </w:t>
      </w:r>
      <w:r w:rsidR="00E16FC8" w:rsidRPr="00A9310F">
        <w:rPr>
          <w:lang w:val="sr-Latn-RS"/>
        </w:rPr>
        <w:t xml:space="preserve">podrške (mentorska podrška, inkubatori, dodela vaučera za profesionalne usluge). </w:t>
      </w:r>
      <w:r w:rsidR="00D16496" w:rsidRPr="00A9310F">
        <w:rPr>
          <w:lang w:val="sr-Latn-RS"/>
        </w:rPr>
        <w:t>Kao p</w:t>
      </w:r>
      <w:r w:rsidR="00E16FC8" w:rsidRPr="00A9310F">
        <w:rPr>
          <w:lang w:val="sr-Latn-RS"/>
        </w:rPr>
        <w:t>osledica nedostatka sistemske podrške</w:t>
      </w:r>
      <w:r w:rsidR="00D16496" w:rsidRPr="00A9310F">
        <w:rPr>
          <w:lang w:val="sr-Latn-RS"/>
        </w:rPr>
        <w:t xml:space="preserve">, </w:t>
      </w:r>
      <w:r w:rsidR="00E16FC8" w:rsidRPr="00A9310F">
        <w:rPr>
          <w:lang w:val="sr-Latn-RS"/>
        </w:rPr>
        <w:t xml:space="preserve">svega 24 </w:t>
      </w:r>
      <w:r w:rsidR="00D16496" w:rsidRPr="00A9310F">
        <w:rPr>
          <w:lang w:val="sr-Latn-RS"/>
        </w:rPr>
        <w:t>s</w:t>
      </w:r>
      <w:r w:rsidR="006F66DD" w:rsidRPr="00A9310F">
        <w:rPr>
          <w:lang w:val="sr-Latn-RS"/>
        </w:rPr>
        <w:t>oc</w:t>
      </w:r>
      <w:r w:rsidR="0000781B" w:rsidRPr="00A9310F">
        <w:rPr>
          <w:lang w:val="sr-Latn-RS"/>
        </w:rPr>
        <w:t>ijaln</w:t>
      </w:r>
      <w:r w:rsidR="002C01C7" w:rsidRPr="00A9310F">
        <w:rPr>
          <w:lang w:val="sr-Latn-RS"/>
        </w:rPr>
        <w:t>a</w:t>
      </w:r>
      <w:r w:rsidR="0000781B" w:rsidRPr="00A9310F">
        <w:rPr>
          <w:lang w:val="sr-Latn-RS"/>
        </w:rPr>
        <w:t xml:space="preserve"> preduzeća</w:t>
      </w:r>
      <w:r w:rsidR="00E16FC8" w:rsidRPr="00A9310F">
        <w:rPr>
          <w:lang w:val="sr-Latn-RS"/>
        </w:rPr>
        <w:t xml:space="preserve"> </w:t>
      </w:r>
      <w:r w:rsidR="00D16496" w:rsidRPr="00A9310F">
        <w:rPr>
          <w:lang w:val="sr-Latn-RS"/>
        </w:rPr>
        <w:t xml:space="preserve">je </w:t>
      </w:r>
      <w:r w:rsidR="00E16FC8" w:rsidRPr="00A9310F">
        <w:rPr>
          <w:lang w:val="sr-Latn-RS"/>
        </w:rPr>
        <w:t>upisano u APR-u, iako je procena da postoji oko 500 preduzeća i udruženja koja trenutno posluju u skladu sa principima socijalne ekonomije i koja bi, uz odgovarajuću finansijsku i nefinansijsku podršku</w:t>
      </w:r>
      <w:r w:rsidR="00DA201F" w:rsidRPr="00A9310F">
        <w:rPr>
          <w:lang w:val="sr-Latn-RS"/>
        </w:rPr>
        <w:t>,</w:t>
      </w:r>
      <w:r w:rsidR="00E16FC8" w:rsidRPr="00A9310F">
        <w:rPr>
          <w:lang w:val="sr-Latn-RS"/>
        </w:rPr>
        <w:t xml:space="preserve"> mogla da povećaju obim poslovanja</w:t>
      </w:r>
      <w:r w:rsidR="00D16496" w:rsidRPr="00A9310F">
        <w:rPr>
          <w:lang w:val="sr-Latn-RS"/>
        </w:rPr>
        <w:t>,</w:t>
      </w:r>
      <w:r w:rsidR="00E16FC8" w:rsidRPr="00A9310F">
        <w:rPr>
          <w:lang w:val="sr-Latn-RS"/>
        </w:rPr>
        <w:t xml:space="preserve"> pa time i broj zaposlenih mladih iz grupe teže zapošljivih.</w:t>
      </w:r>
    </w:p>
    <w:p w14:paraId="2E2F38F8" w14:textId="0B413CAD" w:rsidR="006A4D51" w:rsidRPr="00A9310F" w:rsidRDefault="00052A94" w:rsidP="006A4D51">
      <w:pPr>
        <w:spacing w:line="276" w:lineRule="auto"/>
        <w:jc w:val="both"/>
        <w:rPr>
          <w:rFonts w:cstheme="minorHAnsi"/>
          <w:lang w:val="sr-Latn-RS"/>
        </w:rPr>
      </w:pPr>
      <w:r w:rsidRPr="00A9310F">
        <w:rPr>
          <w:rFonts w:cstheme="minorHAnsi"/>
          <w:lang w:val="sr-Latn-RS"/>
        </w:rPr>
        <w:t>U cilju podsticanja zapošljavanja teže zapošljivih kategorija stanovništva</w:t>
      </w:r>
      <w:r w:rsidR="00D16496" w:rsidRPr="00A9310F">
        <w:rPr>
          <w:rFonts w:cstheme="minorHAnsi"/>
          <w:lang w:val="sr-Latn-RS"/>
        </w:rPr>
        <w:t>,</w:t>
      </w:r>
      <w:r w:rsidRPr="00A9310F">
        <w:rPr>
          <w:rFonts w:cstheme="minorHAnsi"/>
          <w:lang w:val="sr-Latn-RS"/>
        </w:rPr>
        <w:t xml:space="preserve"> uključujući i mlade iz osetljivih društvenih grupa, višestruko diskriminisane mlade i mlade koji napuštaju sistem socijalnog staranja, neophodno je da Ministarstvo za rad, zapošljavanje, boračka i socijalna pitanja donese </w:t>
      </w:r>
      <w:r w:rsidR="0020731A" w:rsidRPr="00A9310F">
        <w:rPr>
          <w:rFonts w:cstheme="minorHAnsi"/>
          <w:lang w:val="sr-Latn-RS"/>
        </w:rPr>
        <w:t>odluku kojom se pokreće proces izrade strategije (alternativno: petogodišnjeg programa) koj</w:t>
      </w:r>
      <w:r w:rsidR="00D16496" w:rsidRPr="00A9310F">
        <w:rPr>
          <w:rFonts w:cstheme="minorHAnsi"/>
          <w:lang w:val="sr-Latn-RS"/>
        </w:rPr>
        <w:t>o</w:t>
      </w:r>
      <w:r w:rsidR="0020731A" w:rsidRPr="00A9310F">
        <w:rPr>
          <w:rFonts w:cstheme="minorHAnsi"/>
          <w:lang w:val="sr-Latn-RS"/>
        </w:rPr>
        <w:t xml:space="preserve">m se utvrđuju mere za stvaranje podsticajnog okruženja za podršku </w:t>
      </w:r>
      <w:r w:rsidR="006A4D51" w:rsidRPr="00A9310F">
        <w:rPr>
          <w:rFonts w:cstheme="minorHAnsi"/>
          <w:lang w:val="sr-Latn-RS"/>
        </w:rPr>
        <w:t>zapošljavanju</w:t>
      </w:r>
      <w:r w:rsidR="0020731A" w:rsidRPr="00A9310F">
        <w:rPr>
          <w:rFonts w:cstheme="minorHAnsi"/>
          <w:lang w:val="sr-Latn-RS"/>
        </w:rPr>
        <w:t xml:space="preserve"> teže zapošljivih grupa kroz osnivanje novih socijalnih preduzeća, registraciju i povećanje vidljivosti preduzeća koja već posluju po principima socijalnih preduzeća a nisu registrovana kao takva</w:t>
      </w:r>
      <w:r w:rsidR="00D16496" w:rsidRPr="00A9310F">
        <w:rPr>
          <w:rFonts w:cstheme="minorHAnsi"/>
          <w:lang w:val="sr-Latn-RS"/>
        </w:rPr>
        <w:t>,</w:t>
      </w:r>
      <w:r w:rsidR="0020731A" w:rsidRPr="00A9310F">
        <w:rPr>
          <w:rFonts w:cstheme="minorHAnsi"/>
          <w:lang w:val="sr-Latn-RS"/>
        </w:rPr>
        <w:t xml:space="preserve"> unapređenje obima poslovanja i umrežavanje postojećih socijalnih preduzeća. </w:t>
      </w:r>
    </w:p>
    <w:p w14:paraId="7D187B2B" w14:textId="77777777" w:rsidR="001A7EF2" w:rsidRPr="00A9310F" w:rsidRDefault="001A7EF2" w:rsidP="006A4D51">
      <w:pPr>
        <w:spacing w:line="276" w:lineRule="auto"/>
        <w:jc w:val="both"/>
        <w:rPr>
          <w:rFonts w:cstheme="minorHAnsi"/>
          <w:lang w:val="sr-Latn-RS"/>
        </w:rPr>
      </w:pPr>
    </w:p>
    <w:p w14:paraId="06643132" w14:textId="4143A2D0" w:rsidR="00EF3AFF" w:rsidRPr="00A9310F" w:rsidRDefault="00532E75" w:rsidP="006A4D51">
      <w:pPr>
        <w:spacing w:line="276" w:lineRule="auto"/>
        <w:jc w:val="both"/>
        <w:rPr>
          <w:rFonts w:cstheme="minorHAnsi"/>
          <w:b/>
          <w:bCs/>
          <w:i/>
          <w:iCs/>
          <w:lang w:val="sr-Latn-RS"/>
        </w:rPr>
      </w:pPr>
      <w:r w:rsidRPr="00A9310F">
        <w:rPr>
          <w:rFonts w:cstheme="minorHAnsi"/>
          <w:b/>
          <w:bCs/>
          <w:i/>
          <w:iCs/>
          <w:lang w:val="sr-Latn-RS"/>
        </w:rPr>
        <w:t>Aktiviranje rada Radne grupe za izradu Zakona o radnim praksama</w:t>
      </w:r>
    </w:p>
    <w:p w14:paraId="234DDD1A" w14:textId="52B43D9F" w:rsidR="00E16FC8" w:rsidRPr="00A9310F" w:rsidRDefault="00E16FC8" w:rsidP="00E16FC8">
      <w:pPr>
        <w:spacing w:line="276" w:lineRule="auto"/>
        <w:jc w:val="both"/>
        <w:rPr>
          <w:lang w:val="sr-Latn-RS"/>
        </w:rPr>
      </w:pPr>
      <w:r w:rsidRPr="00A9310F">
        <w:rPr>
          <w:lang w:val="sr-Latn-RS"/>
        </w:rPr>
        <w:t>Mladi koji napuštaju sistem alternativnog staranja teško dolaze do kvalitetnih radnih praksi i prvog zaposlenja</w:t>
      </w:r>
      <w:r w:rsidR="00D16496" w:rsidRPr="00A9310F">
        <w:rPr>
          <w:lang w:val="sr-Latn-RS"/>
        </w:rPr>
        <w:t>,</w:t>
      </w:r>
      <w:r w:rsidRPr="00A9310F">
        <w:rPr>
          <w:lang w:val="sr-Latn-RS"/>
        </w:rPr>
        <w:t xml:space="preserve"> te su u većem riziku od nesigurnih zaposlenja i </w:t>
      </w:r>
      <w:r w:rsidR="00DA201F" w:rsidRPr="00A9310F">
        <w:rPr>
          <w:lang w:val="sr-Latn-RS"/>
        </w:rPr>
        <w:t>onemogućeni</w:t>
      </w:r>
      <w:r w:rsidR="00D16496" w:rsidRPr="00A9310F">
        <w:rPr>
          <w:lang w:val="sr-Latn-RS"/>
        </w:rPr>
        <w:t xml:space="preserve"> su</w:t>
      </w:r>
      <w:r w:rsidRPr="00A9310F">
        <w:rPr>
          <w:lang w:val="sr-Latn-RS"/>
        </w:rPr>
        <w:t xml:space="preserve"> da ostvare svoja radna prava. Poslednjih godina početničke i </w:t>
      </w:r>
      <w:r w:rsidR="00D16496" w:rsidRPr="00A9310F">
        <w:rPr>
          <w:lang w:val="sr-Latn-RS"/>
        </w:rPr>
        <w:t>generalno</w:t>
      </w:r>
      <w:r w:rsidRPr="00A9310F">
        <w:rPr>
          <w:lang w:val="sr-Latn-RS"/>
        </w:rPr>
        <w:t xml:space="preserve"> veoma slabo plaćene pozicije u privredi i javnom sektoru popunjavaju mladi sa nesigurnim vrstama angažovanja, od kojih je jedna i stručna praksa/stručno osposobljavanje. Prema Alternativnom izveštaju Krovne organizacije mladih za 2025. godinu, broj mladih na plaćenim praksama se smanjuje – sa 18% u prethodnoj godini na 14%. Broj mladih koji su bili na neplaćenoj praksi ostaje sličan. Mladi su stručn</w:t>
      </w:r>
      <w:r w:rsidR="00D16496" w:rsidRPr="00A9310F">
        <w:rPr>
          <w:lang w:val="sr-Latn-RS"/>
        </w:rPr>
        <w:t>e</w:t>
      </w:r>
      <w:r w:rsidRPr="00A9310F">
        <w:rPr>
          <w:lang w:val="sr-Latn-RS"/>
        </w:rPr>
        <w:t xml:space="preserve"> praks</w:t>
      </w:r>
      <w:r w:rsidR="00D16496" w:rsidRPr="00A9310F">
        <w:rPr>
          <w:lang w:val="sr-Latn-RS"/>
        </w:rPr>
        <w:t>e</w:t>
      </w:r>
      <w:r w:rsidRPr="00A9310F">
        <w:rPr>
          <w:lang w:val="sr-Latn-RS"/>
        </w:rPr>
        <w:t xml:space="preserve"> </w:t>
      </w:r>
      <w:r w:rsidR="00D16496" w:rsidRPr="00A9310F">
        <w:rPr>
          <w:lang w:val="sr-Latn-RS"/>
        </w:rPr>
        <w:t>ocenili</w:t>
      </w:r>
      <w:r w:rsidRPr="00A9310F">
        <w:rPr>
          <w:lang w:val="sr-Latn-RS"/>
        </w:rPr>
        <w:t xml:space="preserve"> jedva</w:t>
      </w:r>
      <w:r w:rsidR="00D16496" w:rsidRPr="00A9310F">
        <w:rPr>
          <w:lang w:val="sr-Latn-RS"/>
        </w:rPr>
        <w:t xml:space="preserve"> ocenom</w:t>
      </w:r>
      <w:r w:rsidRPr="00A9310F">
        <w:rPr>
          <w:lang w:val="sr-Latn-RS"/>
        </w:rPr>
        <w:t xml:space="preserve"> tr</w:t>
      </w:r>
      <w:r w:rsidR="00D16496" w:rsidRPr="00A9310F">
        <w:rPr>
          <w:lang w:val="sr-Latn-RS"/>
        </w:rPr>
        <w:t>i</w:t>
      </w:r>
      <w:r w:rsidRPr="00A9310F">
        <w:rPr>
          <w:lang w:val="sr-Latn-RS"/>
        </w:rPr>
        <w:t xml:space="preserve"> (3,05), na skali od 1 (uopšte nisam zadovoljan/a) do 5 (veoma sam zadovoljan/a). </w:t>
      </w:r>
    </w:p>
    <w:p w14:paraId="6E4B78AB" w14:textId="5E0BB180" w:rsidR="00532E75" w:rsidRPr="00A9310F" w:rsidRDefault="00E16FC8" w:rsidP="00E16FC8">
      <w:pPr>
        <w:spacing w:line="276" w:lineRule="auto"/>
        <w:jc w:val="both"/>
        <w:rPr>
          <w:lang w:val="sr-Latn-RS"/>
        </w:rPr>
      </w:pPr>
      <w:r w:rsidRPr="00A9310F">
        <w:rPr>
          <w:lang w:val="sr-Latn-RS"/>
        </w:rPr>
        <w:t xml:space="preserve">Zbog nejasnih i neodgovarajućih odredbi Zakona o radu koje uređuju stručne prakse, postoji opasnost da stručne prakse </w:t>
      </w:r>
      <w:r w:rsidR="00D16496" w:rsidRPr="00A9310F">
        <w:rPr>
          <w:lang w:val="sr-Latn-RS"/>
        </w:rPr>
        <w:t>budu iskorišćene</w:t>
      </w:r>
      <w:r w:rsidRPr="00A9310F">
        <w:rPr>
          <w:lang w:val="sr-Latn-RS"/>
        </w:rPr>
        <w:t xml:space="preserve"> kao način za obezbeđivanje jeftine i slabo plaćene radne snage na manuelnim poslovima na kojima poslodavac mladoj osobi ne nudi sticanje novih stručnih znanja, radnih veština ili profesionalnih kompetencija. U ovoj fazi važna reforma odnosi se na donošenje Zakona o radnoj praksi, kako bi se mladim praktikantima omogućilo da steknu kvalitetno radno iskustvo u sigurnim i pravičnim uslovima. Nakon dve godine pauze, u februaru 2023. Ministarstvo je organizova</w:t>
      </w:r>
      <w:r w:rsidR="00D16496" w:rsidRPr="00A9310F">
        <w:rPr>
          <w:lang w:val="sr-Latn-RS"/>
        </w:rPr>
        <w:t>l</w:t>
      </w:r>
      <w:r w:rsidRPr="00A9310F">
        <w:rPr>
          <w:lang w:val="sr-Latn-RS"/>
        </w:rPr>
        <w:t xml:space="preserve">o novu </w:t>
      </w:r>
      <w:r w:rsidR="00D16496" w:rsidRPr="00A9310F">
        <w:rPr>
          <w:lang w:val="sr-Latn-RS"/>
        </w:rPr>
        <w:t>r</w:t>
      </w:r>
      <w:r w:rsidRPr="00A9310F">
        <w:rPr>
          <w:lang w:val="sr-Latn-RS"/>
        </w:rPr>
        <w:t xml:space="preserve">adnu grupu za doradu Nacrta zakona o radnoj praksi na osnovu prethodnog nacrta iz 2021. godine. Još uvek se ne zna da li je ova radna grupa </w:t>
      </w:r>
      <w:r w:rsidR="00D16496" w:rsidRPr="00A9310F">
        <w:rPr>
          <w:lang w:val="sr-Latn-RS"/>
        </w:rPr>
        <w:t>završila</w:t>
      </w:r>
      <w:r w:rsidRPr="00A9310F">
        <w:rPr>
          <w:lang w:val="sr-Latn-RS"/>
        </w:rPr>
        <w:t xml:space="preserve"> posao na doradi nacrta, niti je Ministarstvo organizovalo javnu raspravu o unapređenoj verziji nacrta.</w:t>
      </w:r>
    </w:p>
    <w:p w14:paraId="5192848C" w14:textId="2F3A1D9A" w:rsidR="00E16FC8" w:rsidRPr="00A9310F" w:rsidRDefault="00E16FC8" w:rsidP="00E16FC8">
      <w:pPr>
        <w:shd w:val="clear" w:color="auto" w:fill="FFFFFF"/>
        <w:spacing w:before="225" w:after="225" w:line="276" w:lineRule="auto"/>
        <w:jc w:val="both"/>
        <w:rPr>
          <w:rFonts w:cstheme="minorHAnsi"/>
          <w:lang w:val="sr-Latn-RS"/>
        </w:rPr>
      </w:pPr>
      <w:r w:rsidRPr="00A9310F">
        <w:rPr>
          <w:rFonts w:cstheme="minorHAnsi"/>
          <w:lang w:val="sr-Latn-RS"/>
        </w:rPr>
        <w:lastRenderedPageBreak/>
        <w:t>U tom smislu, preporučuje se da se u prvom kvartalu 2026. godine hitno aktivira</w:t>
      </w:r>
      <w:r w:rsidRPr="00A9310F">
        <w:rPr>
          <w:rFonts w:cstheme="minorHAnsi"/>
          <w:b/>
          <w:bCs/>
          <w:lang w:val="sr-Latn-RS"/>
        </w:rPr>
        <w:t xml:space="preserve"> </w:t>
      </w:r>
      <w:r w:rsidRPr="00A9310F">
        <w:rPr>
          <w:rFonts w:cstheme="minorHAnsi"/>
          <w:lang w:val="sr-Latn-RS"/>
        </w:rPr>
        <w:t>rad Radne grupe za izradu Nacrta zakona o radnim praksama.</w:t>
      </w:r>
    </w:p>
    <w:p w14:paraId="25EADE8C" w14:textId="35E7816A" w:rsidR="00D26DFB" w:rsidRPr="00A9310F" w:rsidRDefault="00D26DFB" w:rsidP="00E16FC8">
      <w:pPr>
        <w:shd w:val="clear" w:color="auto" w:fill="FFFFFF"/>
        <w:spacing w:before="225" w:after="225" w:line="276" w:lineRule="auto"/>
        <w:jc w:val="both"/>
        <w:rPr>
          <w:rFonts w:cstheme="minorHAnsi"/>
          <w:b/>
          <w:bCs/>
          <w:i/>
          <w:iCs/>
          <w:lang w:val="sr-Latn-RS"/>
        </w:rPr>
      </w:pPr>
      <w:r w:rsidRPr="00A9310F">
        <w:rPr>
          <w:rFonts w:cstheme="minorHAnsi"/>
          <w:b/>
          <w:bCs/>
          <w:i/>
          <w:iCs/>
          <w:lang w:val="sr-Latn-RS"/>
        </w:rPr>
        <w:t>Sužavanje obaveze na izradu individualnog plana zapošljavanja samo na mlade koji nisu u sistemu obrazovanja, obuke ili zapošljavanja (NEET)</w:t>
      </w:r>
    </w:p>
    <w:p w14:paraId="38975D81" w14:textId="338EF0D5" w:rsidR="00D26DFB" w:rsidRPr="00A9310F" w:rsidRDefault="00D26DFB" w:rsidP="00D26DFB">
      <w:pPr>
        <w:spacing w:after="0" w:line="276" w:lineRule="auto"/>
        <w:jc w:val="both"/>
        <w:rPr>
          <w:lang w:val="sr-Latn-RS"/>
        </w:rPr>
      </w:pPr>
      <w:r w:rsidRPr="00A9310F">
        <w:rPr>
          <w:rFonts w:cstheme="minorHAnsi"/>
          <w:lang w:val="sr-Latn-RS"/>
        </w:rPr>
        <w:t>Mere aktivne politike zapošljavanja i postupak rada sa registrovanim nezaposlenim licima uređeni su Zakonom o zapošljavanju i osiguranju u slučaju nezaposl</w:t>
      </w:r>
      <w:r w:rsidR="00D16496" w:rsidRPr="00A9310F">
        <w:rPr>
          <w:rFonts w:cstheme="minorHAnsi"/>
          <w:lang w:val="sr-Latn-RS"/>
        </w:rPr>
        <w:t>e</w:t>
      </w:r>
      <w:r w:rsidRPr="00A9310F">
        <w:rPr>
          <w:rFonts w:cstheme="minorHAnsi"/>
          <w:lang w:val="sr-Latn-RS"/>
        </w:rPr>
        <w:t xml:space="preserve">nosti. Zakon predviđa </w:t>
      </w:r>
      <w:r w:rsidR="00D16496" w:rsidRPr="00A9310F">
        <w:rPr>
          <w:rFonts w:cstheme="minorHAnsi"/>
          <w:lang w:val="sr-Latn-RS"/>
        </w:rPr>
        <w:t>obavezu</w:t>
      </w:r>
      <w:r w:rsidRPr="00A9310F">
        <w:rPr>
          <w:rFonts w:cstheme="minorHAnsi"/>
          <w:lang w:val="sr-Latn-RS"/>
        </w:rPr>
        <w:t xml:space="preserve"> NSZ da u roku od najviše tri meseca sa svakim registrovanim nezaposlenim razvije i zaključi individualni plan zapošljavanja. Ovaj se plan dalje revidira svakih šest meseci, dok nezaposleno lice ima obavezu da se službeniku koji vodi njegov predmet javlja na tri meseca. Imajući u vidu </w:t>
      </w:r>
      <w:r w:rsidR="00D16496" w:rsidRPr="00A9310F">
        <w:rPr>
          <w:rFonts w:cstheme="minorHAnsi"/>
          <w:lang w:val="sr-Latn-RS"/>
        </w:rPr>
        <w:t xml:space="preserve">činjenicu </w:t>
      </w:r>
      <w:r w:rsidRPr="00A9310F">
        <w:rPr>
          <w:rFonts w:cstheme="minorHAnsi"/>
          <w:lang w:val="sr-Latn-RS"/>
        </w:rPr>
        <w:t xml:space="preserve">da u većim filijalama (Beograd, Novi Sad) službenici imaju na evidenciji po 2.000 korisnika, zakonska obaveza da svaki nezaposleni ima </w:t>
      </w:r>
      <w:r w:rsidRPr="00A9310F">
        <w:rPr>
          <w:lang w:val="sr-Latn-RS"/>
        </w:rPr>
        <w:t>svoj individualni plan zapošljavanja pretvorila se u formalnost, koje nezaposleni često nisu ni svesni</w:t>
      </w:r>
      <w:r w:rsidR="000B10CF" w:rsidRPr="00A9310F">
        <w:rPr>
          <w:lang w:val="sr-Latn-RS"/>
        </w:rPr>
        <w:t xml:space="preserve">, </w:t>
      </w:r>
      <w:r w:rsidR="00D16496" w:rsidRPr="00A9310F">
        <w:rPr>
          <w:lang w:val="sr-Latn-RS"/>
        </w:rPr>
        <w:t>pa</w:t>
      </w:r>
      <w:r w:rsidRPr="00A9310F">
        <w:rPr>
          <w:lang w:val="sr-Latn-RS"/>
        </w:rPr>
        <w:t xml:space="preserve"> plan vide samo kao još jedan dodatni dokument prilikom prijave na evidenciju. Ideja zakonodavca da svim nezaposlenima</w:t>
      </w:r>
      <w:r w:rsidR="00D16496" w:rsidRPr="00A9310F">
        <w:rPr>
          <w:lang w:val="sr-Latn-RS"/>
        </w:rPr>
        <w:t>,</w:t>
      </w:r>
      <w:r w:rsidRPr="00A9310F">
        <w:rPr>
          <w:lang w:val="sr-Latn-RS"/>
        </w:rPr>
        <w:t xml:space="preserve"> bez obzira na stepen ugroženosti i procenu realnih potreba za savetovanjem, pruži uslugu izrade individualnog plana zapošljavanja </w:t>
      </w:r>
      <w:r w:rsidR="000B10CF" w:rsidRPr="00A9310F">
        <w:rPr>
          <w:lang w:val="sr-Latn-RS"/>
        </w:rPr>
        <w:t>pretvorila</w:t>
      </w:r>
      <w:r w:rsidRPr="00A9310F">
        <w:rPr>
          <w:lang w:val="sr-Latn-RS"/>
        </w:rPr>
        <w:t xml:space="preserve"> se u svoju suprotnost, jer zbog izuzetno velikog broja slučajeva, evidentičari ne mogu da se posvete onima kojima je taj plan najpotrebniji, a to su NEET mladi, odnosno određene višestruko ugrožene kategorije mladih. U tom smislu, predlaže se izmena čl. 31, 32, 33, 44, 45, 46, 47, 53, 54, 72, 73 i 87 kako bi se obaveza izrad</w:t>
      </w:r>
      <w:r w:rsidR="003F47BE" w:rsidRPr="00A9310F">
        <w:rPr>
          <w:lang w:val="sr-Latn-RS"/>
        </w:rPr>
        <w:t>e</w:t>
      </w:r>
      <w:r w:rsidRPr="00A9310F">
        <w:rPr>
          <w:lang w:val="sr-Latn-RS"/>
        </w:rPr>
        <w:t xml:space="preserve"> individualnog plana zapošljavanja koji priprema NSZ suzila</w:t>
      </w:r>
      <w:r w:rsidR="003F47BE" w:rsidRPr="00A9310F">
        <w:rPr>
          <w:lang w:val="sr-Latn-RS"/>
        </w:rPr>
        <w:t>,</w:t>
      </w:r>
      <w:r w:rsidRPr="00A9310F">
        <w:rPr>
          <w:lang w:val="sr-Latn-RS"/>
        </w:rPr>
        <w:t xml:space="preserve"> te bi se, umesto </w:t>
      </w:r>
      <w:r w:rsidR="003F47BE" w:rsidRPr="00A9310F">
        <w:rPr>
          <w:lang w:val="sr-Latn-RS"/>
        </w:rPr>
        <w:t>za</w:t>
      </w:r>
      <w:r w:rsidRPr="00A9310F">
        <w:rPr>
          <w:lang w:val="sr-Latn-RS"/>
        </w:rPr>
        <w:t xml:space="preserve"> svak</w:t>
      </w:r>
      <w:r w:rsidR="003F47BE" w:rsidRPr="00A9310F">
        <w:rPr>
          <w:lang w:val="sr-Latn-RS"/>
        </w:rPr>
        <w:t>o</w:t>
      </w:r>
      <w:r w:rsidRPr="00A9310F">
        <w:rPr>
          <w:lang w:val="sr-Latn-RS"/>
        </w:rPr>
        <w:t xml:space="preserve"> registrovan</w:t>
      </w:r>
      <w:r w:rsidR="003F47BE" w:rsidRPr="00A9310F">
        <w:rPr>
          <w:lang w:val="sr-Latn-RS"/>
        </w:rPr>
        <w:t>o</w:t>
      </w:r>
      <w:r w:rsidRPr="00A9310F">
        <w:rPr>
          <w:lang w:val="sr-Latn-RS"/>
        </w:rPr>
        <w:t xml:space="preserve"> nezaposlen</w:t>
      </w:r>
      <w:r w:rsidR="003F47BE" w:rsidRPr="00A9310F">
        <w:rPr>
          <w:lang w:val="sr-Latn-RS"/>
        </w:rPr>
        <w:t>o</w:t>
      </w:r>
      <w:r w:rsidRPr="00A9310F">
        <w:rPr>
          <w:lang w:val="sr-Latn-RS"/>
        </w:rPr>
        <w:t xml:space="preserve"> lice, ovaj plan pripremao samo za kategoriju NEET mladih. Evaluacija sprovođenja prve faze </w:t>
      </w:r>
      <w:r w:rsidR="003F47BE" w:rsidRPr="00A9310F">
        <w:rPr>
          <w:rFonts w:cstheme="minorHAnsi"/>
          <w:lang w:val="sr-Latn-RS"/>
        </w:rPr>
        <w:t>„</w:t>
      </w:r>
      <w:r w:rsidRPr="00A9310F">
        <w:rPr>
          <w:lang w:val="sr-Latn-RS"/>
        </w:rPr>
        <w:t>Garancije za mlade</w:t>
      </w:r>
      <w:r w:rsidR="003F47BE" w:rsidRPr="00A9310F">
        <w:rPr>
          <w:rFonts w:cstheme="minorHAnsi"/>
          <w:lang w:val="sr-Latn-RS"/>
        </w:rPr>
        <w:t>ˮ</w:t>
      </w:r>
      <w:r w:rsidRPr="00A9310F">
        <w:rPr>
          <w:lang w:val="sr-Latn-RS"/>
        </w:rPr>
        <w:t xml:space="preserve"> može da bude odličan okvir za testiranje unapređenog načina savetovanja upravo na mladim nezaposlenim korisnicima usluga NZS.</w:t>
      </w:r>
    </w:p>
    <w:p w14:paraId="100C3F01" w14:textId="77777777" w:rsidR="001A7EF2" w:rsidRPr="00A9310F" w:rsidRDefault="001A7EF2" w:rsidP="00D26DFB">
      <w:pPr>
        <w:spacing w:after="0" w:line="276" w:lineRule="auto"/>
        <w:jc w:val="both"/>
        <w:rPr>
          <w:lang w:val="sr-Latn-RS"/>
        </w:rPr>
      </w:pPr>
    </w:p>
    <w:p w14:paraId="07835CF5" w14:textId="5591D641" w:rsidR="003725A7" w:rsidRPr="00A9310F" w:rsidRDefault="003725A7" w:rsidP="00D26DFB">
      <w:pPr>
        <w:spacing w:after="0" w:line="276" w:lineRule="auto"/>
        <w:jc w:val="both"/>
        <w:rPr>
          <w:lang w:val="sr-Latn-RS"/>
        </w:rPr>
      </w:pPr>
    </w:p>
    <w:p w14:paraId="56D55EBE" w14:textId="34D8D595" w:rsidR="003725A7" w:rsidRPr="00A9310F" w:rsidRDefault="003725A7" w:rsidP="00D26DFB">
      <w:pPr>
        <w:spacing w:after="0" w:line="276" w:lineRule="auto"/>
        <w:jc w:val="both"/>
        <w:rPr>
          <w:b/>
          <w:bCs/>
          <w:i/>
          <w:iCs/>
          <w:lang w:val="sr-Latn-RS"/>
        </w:rPr>
      </w:pPr>
      <w:r w:rsidRPr="00A9310F">
        <w:rPr>
          <w:b/>
          <w:bCs/>
          <w:i/>
          <w:iCs/>
          <w:lang w:val="sr-Latn-RS"/>
        </w:rPr>
        <w:t>Ujednačavanje prakse primene Zakona o socijalnoj karti</w:t>
      </w:r>
    </w:p>
    <w:p w14:paraId="04291F03" w14:textId="330D0ACF" w:rsidR="00D26DFB" w:rsidRPr="00A9310F" w:rsidRDefault="003725A7" w:rsidP="00E16FC8">
      <w:pPr>
        <w:shd w:val="clear" w:color="auto" w:fill="FFFFFF"/>
        <w:spacing w:before="225" w:after="225" w:line="276" w:lineRule="auto"/>
        <w:jc w:val="both"/>
        <w:rPr>
          <w:rFonts w:cstheme="minorHAnsi"/>
          <w:lang w:val="sr-Latn-RS"/>
        </w:rPr>
      </w:pPr>
      <w:r w:rsidRPr="00A9310F">
        <w:rPr>
          <w:rFonts w:cstheme="minorHAnsi"/>
          <w:lang w:val="sr-Latn-RS"/>
        </w:rPr>
        <w:t>Nakon stupanja na snagu Zakona o socijalnoj karti</w:t>
      </w:r>
      <w:r w:rsidRPr="00A9310F">
        <w:rPr>
          <w:rFonts w:cstheme="minorHAnsi"/>
          <w:shd w:val="clear" w:color="auto" w:fill="FFFFFF"/>
          <w:lang w:val="sr-Latn-RS"/>
        </w:rPr>
        <w:t xml:space="preserve"> </w:t>
      </w:r>
      <w:r w:rsidRPr="00A9310F">
        <w:rPr>
          <w:rFonts w:cstheme="minorHAnsi"/>
          <w:lang w:val="sr-Latn-RS"/>
        </w:rPr>
        <w:t xml:space="preserve">i digitalizacije socijalne zaštite, </w:t>
      </w:r>
      <w:r w:rsidRPr="00A9310F">
        <w:rPr>
          <w:rFonts w:cstheme="minorHAnsi"/>
          <w:shd w:val="clear" w:color="auto" w:fill="FFFFFF"/>
          <w:lang w:val="sr-Latn-RS"/>
        </w:rPr>
        <w:t xml:space="preserve">Ministarstvo za rad, zapošljavanje, boračka i socijalna pitanja i nadležni </w:t>
      </w:r>
      <w:r w:rsidR="003F47BE" w:rsidRPr="00A9310F">
        <w:rPr>
          <w:rFonts w:cstheme="minorHAnsi"/>
          <w:shd w:val="clear" w:color="auto" w:fill="FFFFFF"/>
          <w:lang w:val="sr-Latn-RS"/>
        </w:rPr>
        <w:t>c</w:t>
      </w:r>
      <w:r w:rsidRPr="00A9310F">
        <w:rPr>
          <w:rFonts w:cstheme="minorHAnsi"/>
          <w:shd w:val="clear" w:color="auto" w:fill="FFFFFF"/>
          <w:lang w:val="sr-Latn-RS"/>
        </w:rPr>
        <w:t xml:space="preserve">entri za socijalni rad imaju u podatke o svim primanjima lica koja su korisnici prava iz socijalne zaštite. Od stupanja na snagu ovog zakona koji je ustanovio razmenu podataka sa drugim registrima, razmenjuju se podaci i sa registrima Poreske uprave, iz kojih registar Socijalna karta preuzima podatke o prihodima na koje se plaćaju porezi i doprinosi za obavezno socijalno osiguranje. Nepostojanje usaglašene prakse postupanja u </w:t>
      </w:r>
      <w:r w:rsidR="003F47BE" w:rsidRPr="00A9310F">
        <w:rPr>
          <w:rFonts w:cstheme="minorHAnsi"/>
          <w:shd w:val="clear" w:color="auto" w:fill="FFFFFF"/>
          <w:lang w:val="sr-Latn-RS"/>
        </w:rPr>
        <w:t>c</w:t>
      </w:r>
      <w:r w:rsidRPr="00A9310F">
        <w:rPr>
          <w:rFonts w:cstheme="minorHAnsi"/>
          <w:shd w:val="clear" w:color="auto" w:fill="FFFFFF"/>
          <w:lang w:val="sr-Latn-RS"/>
        </w:rPr>
        <w:t xml:space="preserve">entrima za socijalni rad dovodi do toga da pojedini </w:t>
      </w:r>
      <w:r w:rsidR="003F47BE" w:rsidRPr="00A9310F">
        <w:rPr>
          <w:rFonts w:cstheme="minorHAnsi"/>
          <w:shd w:val="clear" w:color="auto" w:fill="FFFFFF"/>
          <w:lang w:val="sr-Latn-RS"/>
        </w:rPr>
        <w:t>c</w:t>
      </w:r>
      <w:r w:rsidRPr="00A9310F">
        <w:rPr>
          <w:rFonts w:cstheme="minorHAnsi"/>
          <w:shd w:val="clear" w:color="auto" w:fill="FFFFFF"/>
          <w:lang w:val="sr-Latn-RS"/>
        </w:rPr>
        <w:t>entri onemogućavaju mlade osobe pod hraniteljstvom, kojima je hraniteljska naknada nedovoljna da pokriju troškove života u mestu studiranja, da rade</w:t>
      </w:r>
      <w:r w:rsidR="003F47BE" w:rsidRPr="00A9310F">
        <w:rPr>
          <w:rFonts w:cstheme="minorHAnsi"/>
          <w:shd w:val="clear" w:color="auto" w:fill="FFFFFF"/>
          <w:lang w:val="sr-Latn-RS"/>
        </w:rPr>
        <w:t xml:space="preserve"> dok studiraju</w:t>
      </w:r>
      <w:r w:rsidRPr="00A9310F">
        <w:rPr>
          <w:rFonts w:cstheme="minorHAnsi"/>
          <w:shd w:val="clear" w:color="auto" w:fill="FFFFFF"/>
          <w:lang w:val="sr-Latn-RS"/>
        </w:rPr>
        <w:t xml:space="preserve"> usled straha da ne izgube status osobe pod hraniteljstvom. Zbog navedenog različitog tumačenja prirode ovog dodatnog prihoda mladih pod starateljstvom, oni ili prestaju da rade ili rade na crno, tj. poslodavci im zaradu isplaćuju na ruke, bez ugovora i bez bilo kakve zaštite koju pruža regulisani status. Zbog svega navedenog, predlažemo da Ministarstvo usvoji </w:t>
      </w:r>
      <w:r w:rsidRPr="00A9310F">
        <w:rPr>
          <w:rFonts w:cstheme="minorHAnsi"/>
          <w:lang w:val="sr-Latn-RS"/>
        </w:rPr>
        <w:t>obavezujuće uputstvo centrima za socijalni rad koje bi omogućilo mladima pod hraniteljstvom da stiču prihode angažmanom u studentskim zadrugama i sl. na koje su plaćeni doprinosi za socijalno osiguranje bez gubitka statusa osobe pod hraniteljstvom.</w:t>
      </w:r>
    </w:p>
    <w:p w14:paraId="42C76E56" w14:textId="3B54E1F2" w:rsidR="00555DF5" w:rsidRPr="00A9310F" w:rsidRDefault="00555DF5" w:rsidP="00555DF5">
      <w:pPr>
        <w:spacing w:line="276" w:lineRule="auto"/>
        <w:jc w:val="both"/>
        <w:rPr>
          <w:rFonts w:cstheme="minorHAnsi"/>
          <w:b/>
          <w:bCs/>
          <w:i/>
          <w:iCs/>
          <w:lang w:val="sr-Latn-RS"/>
        </w:rPr>
      </w:pPr>
      <w:r w:rsidRPr="00A9310F">
        <w:rPr>
          <w:rFonts w:cstheme="minorHAnsi"/>
          <w:b/>
          <w:bCs/>
          <w:i/>
          <w:iCs/>
          <w:lang w:val="sr-Latn-RS"/>
        </w:rPr>
        <w:t xml:space="preserve">Usvajanje novog </w:t>
      </w:r>
      <w:r w:rsidR="003F47BE" w:rsidRPr="00A9310F">
        <w:rPr>
          <w:rFonts w:cstheme="minorHAnsi"/>
          <w:b/>
          <w:bCs/>
          <w:i/>
          <w:iCs/>
          <w:lang w:val="sr-Latn-RS"/>
        </w:rPr>
        <w:t>z</w:t>
      </w:r>
      <w:r w:rsidRPr="00A9310F">
        <w:rPr>
          <w:rFonts w:cstheme="minorHAnsi"/>
          <w:b/>
          <w:bCs/>
          <w:i/>
          <w:iCs/>
          <w:lang w:val="sr-Latn-RS"/>
        </w:rPr>
        <w:t>akona o volontiranju</w:t>
      </w:r>
      <w:r w:rsidR="006F54E6" w:rsidRPr="00A9310F">
        <w:rPr>
          <w:rFonts w:cstheme="minorHAnsi"/>
          <w:b/>
          <w:bCs/>
          <w:i/>
          <w:iCs/>
          <w:lang w:val="sr-Latn-RS"/>
        </w:rPr>
        <w:t xml:space="preserve"> sa odredbama koje podržavaju volontiranje NEET mladih</w:t>
      </w:r>
    </w:p>
    <w:p w14:paraId="7A5D2408" w14:textId="14122057" w:rsidR="002C6008" w:rsidRPr="00A9310F" w:rsidRDefault="00495869" w:rsidP="002C6008">
      <w:pPr>
        <w:spacing w:line="276" w:lineRule="auto"/>
        <w:jc w:val="both"/>
        <w:rPr>
          <w:rFonts w:cstheme="minorHAnsi"/>
          <w:lang w:val="sr-Latn-RS"/>
        </w:rPr>
      </w:pPr>
      <w:r w:rsidRPr="00A9310F">
        <w:rPr>
          <w:rFonts w:cstheme="minorHAnsi"/>
          <w:lang w:val="sr-Latn-RS"/>
        </w:rPr>
        <w:lastRenderedPageBreak/>
        <w:t xml:space="preserve">Zakonom o volontiranju uređeno je volontiranje kao rad </w:t>
      </w:r>
      <w:r w:rsidR="00FA7D8C" w:rsidRPr="00A9310F">
        <w:rPr>
          <w:rFonts w:cstheme="minorHAnsi"/>
          <w:lang w:val="sr-Latn-RS"/>
        </w:rPr>
        <w:t xml:space="preserve">bez naknade za dobro zajednice ili grupe lica (Zakon o volontiranju, </w:t>
      </w:r>
      <w:r w:rsidR="003F47BE" w:rsidRPr="00A9310F">
        <w:rPr>
          <w:rFonts w:cstheme="minorHAnsi"/>
          <w:lang w:val="sr-Latn-RS"/>
        </w:rPr>
        <w:t>„</w:t>
      </w:r>
      <w:r w:rsidR="00FA7D8C" w:rsidRPr="00A9310F">
        <w:rPr>
          <w:rFonts w:cstheme="minorHAnsi"/>
          <w:lang w:val="sr-Latn-RS"/>
        </w:rPr>
        <w:t xml:space="preserve">Službeni glasnik </w:t>
      </w:r>
      <w:proofErr w:type="spellStart"/>
      <w:r w:rsidR="00FA7D8C" w:rsidRPr="00A9310F">
        <w:rPr>
          <w:rFonts w:cstheme="minorHAnsi"/>
          <w:lang w:val="sr-Latn-RS"/>
        </w:rPr>
        <w:t>RS</w:t>
      </w:r>
      <w:r w:rsidR="003F47BE" w:rsidRPr="00A9310F">
        <w:rPr>
          <w:rFonts w:cstheme="minorHAnsi"/>
          <w:lang w:val="sr-Latn-RS"/>
        </w:rPr>
        <w:t>ˮ</w:t>
      </w:r>
      <w:proofErr w:type="spellEnd"/>
      <w:r w:rsidR="003F47BE" w:rsidRPr="00A9310F">
        <w:rPr>
          <w:rFonts w:cstheme="minorHAnsi"/>
          <w:lang w:val="sr-Latn-RS"/>
        </w:rPr>
        <w:t>,</w:t>
      </w:r>
      <w:r w:rsidR="00FA7D8C" w:rsidRPr="00A9310F">
        <w:rPr>
          <w:rFonts w:cstheme="minorHAnsi"/>
          <w:lang w:val="sr-Latn-RS"/>
        </w:rPr>
        <w:t xml:space="preserve"> br. 36/10). Posebnom grupom propisa uređeno </w:t>
      </w:r>
      <w:r w:rsidR="003F47BE" w:rsidRPr="00A9310F">
        <w:rPr>
          <w:rFonts w:cstheme="minorHAnsi"/>
          <w:lang w:val="sr-Latn-RS"/>
        </w:rPr>
        <w:t xml:space="preserve">je </w:t>
      </w:r>
      <w:r w:rsidR="00FA7D8C" w:rsidRPr="00A9310F">
        <w:rPr>
          <w:rFonts w:cstheme="minorHAnsi"/>
          <w:lang w:val="sr-Latn-RS"/>
        </w:rPr>
        <w:t xml:space="preserve">volontiranje </w:t>
      </w:r>
      <w:r w:rsidRPr="00A9310F">
        <w:rPr>
          <w:rFonts w:cstheme="minorHAnsi"/>
          <w:lang w:val="sr-Latn-RS"/>
        </w:rPr>
        <w:t>u cilju obavljanja pripravničkog staža</w:t>
      </w:r>
      <w:r w:rsidR="00FA7D8C" w:rsidRPr="00A9310F">
        <w:rPr>
          <w:rFonts w:cstheme="minorHAnsi"/>
          <w:lang w:val="sr-Latn-RS"/>
        </w:rPr>
        <w:t>. Ovakva vrsta volontiranja predviđena je Zakonom o advokaturi, za advokatske pripravnike</w:t>
      </w:r>
      <w:r w:rsidR="003F47BE" w:rsidRPr="00A9310F">
        <w:rPr>
          <w:rFonts w:cstheme="minorHAnsi"/>
          <w:lang w:val="sr-Latn-RS"/>
        </w:rPr>
        <w:t>,</w:t>
      </w:r>
      <w:r w:rsidR="00FA7D8C" w:rsidRPr="00A9310F">
        <w:rPr>
          <w:rFonts w:cstheme="minorHAnsi"/>
          <w:lang w:val="sr-Latn-RS"/>
        </w:rPr>
        <w:t xml:space="preserve"> kao i Zakonom o zdravstvenoj zaštiti (za sve zdravstvene radnike koji volontiraju radi sticanja prava na polaganje stručnog ispita). Na ove posebne vrste volontiranja se ne primenjuje Zakon o volontiranju. Volontiranje može da se obavlja samo u organizaciji koja je kod Ministarstva za rad, zapošljavanje, boračka i socijalna pitanja upisan</w:t>
      </w:r>
      <w:r w:rsidRPr="00A9310F">
        <w:rPr>
          <w:rFonts w:cstheme="minorHAnsi"/>
          <w:lang w:val="sr-Latn-RS"/>
        </w:rPr>
        <w:t xml:space="preserve">a </w:t>
      </w:r>
      <w:r w:rsidR="00FA7D8C" w:rsidRPr="00A9310F">
        <w:rPr>
          <w:rFonts w:cstheme="minorHAnsi"/>
          <w:lang w:val="sr-Latn-RS"/>
        </w:rPr>
        <w:t xml:space="preserve">u registar volonterskih organizacija. </w:t>
      </w:r>
    </w:p>
    <w:p w14:paraId="2F9FBF34" w14:textId="65886C07" w:rsidR="000F6AD6" w:rsidRPr="00A9310F" w:rsidRDefault="00495869" w:rsidP="002C6008">
      <w:pPr>
        <w:spacing w:line="276" w:lineRule="auto"/>
        <w:jc w:val="both"/>
        <w:rPr>
          <w:lang w:val="sr-Latn-RS"/>
        </w:rPr>
      </w:pPr>
      <w:bookmarkStart w:id="1" w:name="_Hlk218092862"/>
      <w:r w:rsidRPr="00A9310F">
        <w:rPr>
          <w:rFonts w:cstheme="minorHAnsi"/>
          <w:lang w:val="sr-Latn-RS"/>
        </w:rPr>
        <w:t>Prilikom predstojećih izmena Zakona o volontiranju trebalo</w:t>
      </w:r>
      <w:r w:rsidR="003F47BE" w:rsidRPr="00A9310F">
        <w:rPr>
          <w:rFonts w:cstheme="minorHAnsi"/>
          <w:lang w:val="sr-Latn-RS"/>
        </w:rPr>
        <w:t xml:space="preserve"> bi</w:t>
      </w:r>
      <w:r w:rsidRPr="00A9310F">
        <w:rPr>
          <w:rFonts w:cstheme="minorHAnsi"/>
          <w:lang w:val="sr-Latn-RS"/>
        </w:rPr>
        <w:t xml:space="preserve"> uvažiti činjenicu da za veliki broj </w:t>
      </w:r>
      <w:r w:rsidR="000F6AD6" w:rsidRPr="00A9310F">
        <w:rPr>
          <w:rFonts w:cstheme="minorHAnsi"/>
          <w:lang w:val="sr-Latn-RS"/>
        </w:rPr>
        <w:t>NEET mladih (</w:t>
      </w:r>
      <w:r w:rsidR="000F6AD6" w:rsidRPr="00A9310F">
        <w:rPr>
          <w:lang w:val="sr-Latn-RS"/>
        </w:rPr>
        <w:t xml:space="preserve">koji nisu </w:t>
      </w:r>
      <w:r w:rsidR="00536C09" w:rsidRPr="00A9310F">
        <w:rPr>
          <w:lang w:val="sr-Latn-RS"/>
        </w:rPr>
        <w:t>u sistemu obrazovanja, obuke ili zapošljavanja</w:t>
      </w:r>
      <w:r w:rsidR="000F6AD6" w:rsidRPr="00A9310F">
        <w:rPr>
          <w:lang w:val="sr-Latn-RS"/>
        </w:rPr>
        <w:t>)</w:t>
      </w:r>
      <w:r w:rsidR="00605AF4" w:rsidRPr="00A9310F">
        <w:rPr>
          <w:lang w:val="sr-Latn-RS"/>
        </w:rPr>
        <w:t>,</w:t>
      </w:r>
      <w:r w:rsidR="000F6AD6" w:rsidRPr="00A9310F">
        <w:rPr>
          <w:lang w:val="sr-Latn-RS"/>
        </w:rPr>
        <w:t xml:space="preserve"> a posebno mladih koji izlaze iz sistema socijalnog staranja, v</w:t>
      </w:r>
      <w:r w:rsidRPr="00A9310F">
        <w:rPr>
          <w:rFonts w:cstheme="minorHAnsi"/>
          <w:lang w:val="sr-Latn-RS"/>
        </w:rPr>
        <w:t>olontiranje predstavlja jedinu, ili jednu od dostupnijih</w:t>
      </w:r>
      <w:r w:rsidR="000F6AD6" w:rsidRPr="00A9310F">
        <w:rPr>
          <w:rFonts w:cstheme="minorHAnsi"/>
          <w:lang w:val="sr-Latn-RS"/>
        </w:rPr>
        <w:t xml:space="preserve"> </w:t>
      </w:r>
      <w:r w:rsidRPr="00A9310F">
        <w:rPr>
          <w:rFonts w:cstheme="minorHAnsi"/>
          <w:lang w:val="sr-Latn-RS"/>
        </w:rPr>
        <w:t>mogućnosti za sticanje neophodnih znanja, veština, kompetencija i priznatog staža</w:t>
      </w:r>
      <w:r w:rsidR="00C63345" w:rsidRPr="00A9310F">
        <w:rPr>
          <w:rFonts w:cstheme="minorHAnsi"/>
          <w:lang w:val="sr-Latn-RS"/>
        </w:rPr>
        <w:t xml:space="preserve"> (prema mišljenju </w:t>
      </w:r>
      <w:r w:rsidRPr="00A9310F">
        <w:rPr>
          <w:rFonts w:cstheme="minorHAnsi"/>
          <w:lang w:val="sr-Latn-RS"/>
        </w:rPr>
        <w:t>MRZBSP potvrda o volontiranju, ukoliko sadrži sve elemente na osnovu kojih može da se utvrdi vrsta volonterskog rada, odnosno da se dokumentuje radno iskustvo</w:t>
      </w:r>
      <w:r w:rsidR="000F6AD6" w:rsidRPr="00A9310F">
        <w:rPr>
          <w:rFonts w:cstheme="minorHAnsi"/>
          <w:lang w:val="sr-Latn-RS"/>
        </w:rPr>
        <w:t>,</w:t>
      </w:r>
      <w:r w:rsidRPr="00A9310F">
        <w:rPr>
          <w:rFonts w:cstheme="minorHAnsi"/>
          <w:lang w:val="sr-Latn-RS"/>
        </w:rPr>
        <w:t xml:space="preserve"> </w:t>
      </w:r>
      <w:r w:rsidR="003F47BE" w:rsidRPr="00A9310F">
        <w:rPr>
          <w:rFonts w:cstheme="minorHAnsi"/>
          <w:lang w:val="sr-Latn-RS"/>
        </w:rPr>
        <w:t>predstavlja</w:t>
      </w:r>
      <w:r w:rsidRPr="00A9310F">
        <w:rPr>
          <w:rFonts w:cstheme="minorHAnsi"/>
          <w:lang w:val="sr-Latn-RS"/>
        </w:rPr>
        <w:t xml:space="preserve"> validan dokaz o obavljenom stažu</w:t>
      </w:r>
      <w:r w:rsidR="00C63345" w:rsidRPr="00A9310F">
        <w:rPr>
          <w:rFonts w:cstheme="minorHAnsi"/>
          <w:lang w:val="sr-Latn-RS"/>
        </w:rPr>
        <w:t>)</w:t>
      </w:r>
      <w:r w:rsidRPr="00A9310F">
        <w:rPr>
          <w:rFonts w:cstheme="minorHAnsi"/>
          <w:lang w:val="sr-Latn-RS"/>
        </w:rPr>
        <w:t xml:space="preserve">. </w:t>
      </w:r>
      <w:r w:rsidR="000F6AD6" w:rsidRPr="00A9310F">
        <w:rPr>
          <w:rFonts w:cstheme="minorHAnsi"/>
          <w:lang w:val="sr-Latn-RS"/>
        </w:rPr>
        <w:t>U tom smislu, zakonskim izmenama</w:t>
      </w:r>
      <w:r w:rsidR="00605AF4" w:rsidRPr="00A9310F">
        <w:rPr>
          <w:rFonts w:cstheme="minorHAnsi"/>
          <w:lang w:val="sr-Latn-RS"/>
        </w:rPr>
        <w:t xml:space="preserve"> </w:t>
      </w:r>
      <w:r w:rsidR="00C63345" w:rsidRPr="00A9310F">
        <w:rPr>
          <w:rFonts w:cstheme="minorHAnsi"/>
          <w:lang w:val="sr-Latn-RS"/>
        </w:rPr>
        <w:t>Zakona o volontiranju</w:t>
      </w:r>
      <w:r w:rsidR="000F6AD6" w:rsidRPr="00A9310F">
        <w:rPr>
          <w:rFonts w:cstheme="minorHAnsi"/>
          <w:lang w:val="sr-Latn-RS"/>
        </w:rPr>
        <w:t xml:space="preserve"> </w:t>
      </w:r>
      <w:r w:rsidRPr="00A9310F">
        <w:rPr>
          <w:rFonts w:cstheme="minorHAnsi"/>
          <w:lang w:val="sr-Latn-RS"/>
        </w:rPr>
        <w:t>trebalo</w:t>
      </w:r>
      <w:r w:rsidR="003F47BE" w:rsidRPr="00A9310F">
        <w:rPr>
          <w:rFonts w:cstheme="minorHAnsi"/>
          <w:lang w:val="sr-Latn-RS"/>
        </w:rPr>
        <w:t xml:space="preserve"> bi</w:t>
      </w:r>
      <w:r w:rsidRPr="00A9310F">
        <w:rPr>
          <w:rFonts w:cstheme="minorHAnsi"/>
          <w:lang w:val="sr-Latn-RS"/>
        </w:rPr>
        <w:t xml:space="preserve"> stvoriti osnov za </w:t>
      </w:r>
      <w:r w:rsidR="000F6AD6" w:rsidRPr="00A9310F">
        <w:rPr>
          <w:rFonts w:cstheme="minorHAnsi"/>
          <w:lang w:val="sr-Latn-RS"/>
        </w:rPr>
        <w:t xml:space="preserve">dodelu </w:t>
      </w:r>
      <w:r w:rsidRPr="00A9310F">
        <w:rPr>
          <w:rFonts w:cstheme="minorHAnsi"/>
          <w:lang w:val="sr-Latn-RS"/>
        </w:rPr>
        <w:t>podsticaj</w:t>
      </w:r>
      <w:r w:rsidR="000F6AD6" w:rsidRPr="00A9310F">
        <w:rPr>
          <w:rFonts w:cstheme="minorHAnsi"/>
          <w:lang w:val="sr-Latn-RS"/>
        </w:rPr>
        <w:t>a</w:t>
      </w:r>
      <w:r w:rsidRPr="00A9310F">
        <w:rPr>
          <w:rFonts w:cstheme="minorHAnsi"/>
          <w:lang w:val="sr-Latn-RS"/>
        </w:rPr>
        <w:t xml:space="preserve"> volonterskim organizacijama</w:t>
      </w:r>
      <w:r w:rsidR="000F6AD6" w:rsidRPr="00A9310F">
        <w:rPr>
          <w:rFonts w:cstheme="minorHAnsi"/>
          <w:lang w:val="sr-Latn-RS"/>
        </w:rPr>
        <w:t>,</w:t>
      </w:r>
      <w:r w:rsidRPr="00A9310F">
        <w:rPr>
          <w:rFonts w:cstheme="minorHAnsi"/>
          <w:lang w:val="sr-Latn-RS"/>
        </w:rPr>
        <w:t xml:space="preserve"> </w:t>
      </w:r>
      <w:r w:rsidR="002C6008" w:rsidRPr="00A9310F">
        <w:rPr>
          <w:rFonts w:cstheme="minorHAnsi"/>
          <w:lang w:val="sr-Latn-RS"/>
        </w:rPr>
        <w:t xml:space="preserve">koje </w:t>
      </w:r>
      <w:r w:rsidR="000F6AD6" w:rsidRPr="00A9310F">
        <w:rPr>
          <w:rFonts w:cstheme="minorHAnsi"/>
          <w:lang w:val="sr-Latn-RS"/>
        </w:rPr>
        <w:t xml:space="preserve">kroz partnerstva sa privredom i obrazovnim institucijama kroz volonterstvo </w:t>
      </w:r>
      <w:r w:rsidR="003F47BE" w:rsidRPr="00A9310F">
        <w:rPr>
          <w:rFonts w:cstheme="minorHAnsi"/>
          <w:lang w:val="sr-Latn-RS"/>
        </w:rPr>
        <w:t xml:space="preserve">podržavaju </w:t>
      </w:r>
      <w:r w:rsidR="000F6AD6" w:rsidRPr="00A9310F">
        <w:rPr>
          <w:rFonts w:cstheme="minorHAnsi"/>
          <w:lang w:val="sr-Latn-RS"/>
        </w:rPr>
        <w:t>ra</w:t>
      </w:r>
      <w:r w:rsidR="000F6AD6" w:rsidRPr="00A9310F">
        <w:rPr>
          <w:lang w:val="sr-Latn-RS"/>
        </w:rPr>
        <w:t xml:space="preserve">zvoj osnovnih veština i ključnih kompetencija, zapošljavanje i lični razvoj NEET mladih i mladih koji izlaze iz sistema socijalnog staranja. </w:t>
      </w:r>
    </w:p>
    <w:p w14:paraId="4D07CA27" w14:textId="07A6E878" w:rsidR="00495869" w:rsidRPr="00A9310F" w:rsidRDefault="00C63345" w:rsidP="006D7D71">
      <w:pPr>
        <w:spacing w:line="276" w:lineRule="auto"/>
        <w:jc w:val="both"/>
        <w:rPr>
          <w:rFonts w:cstheme="minorHAnsi"/>
          <w:lang w:val="sr-Latn-RS"/>
        </w:rPr>
      </w:pPr>
      <w:r w:rsidRPr="00A9310F">
        <w:rPr>
          <w:lang w:val="sr-Latn-RS"/>
        </w:rPr>
        <w:t>P</w:t>
      </w:r>
      <w:r w:rsidR="000F6AD6" w:rsidRPr="00A9310F">
        <w:rPr>
          <w:rFonts w:cstheme="minorHAnsi"/>
          <w:lang w:val="sr-Latn-RS"/>
        </w:rPr>
        <w:t>rema</w:t>
      </w:r>
      <w:r w:rsidR="00380C63" w:rsidRPr="00A9310F">
        <w:rPr>
          <w:rFonts w:cstheme="minorHAnsi"/>
          <w:lang w:val="sr-Latn-RS"/>
        </w:rPr>
        <w:t xml:space="preserve"> </w:t>
      </w:r>
      <w:r w:rsidR="00605AF4" w:rsidRPr="00A9310F">
        <w:rPr>
          <w:rFonts w:cstheme="minorHAnsi"/>
          <w:lang w:val="sr-Latn-RS"/>
        </w:rPr>
        <w:t xml:space="preserve">važećem </w:t>
      </w:r>
      <w:r w:rsidR="003F47BE" w:rsidRPr="00A9310F">
        <w:rPr>
          <w:rFonts w:cstheme="minorHAnsi"/>
          <w:lang w:val="sr-Latn-RS"/>
        </w:rPr>
        <w:t>z</w:t>
      </w:r>
      <w:r w:rsidR="002C6008" w:rsidRPr="00A9310F">
        <w:rPr>
          <w:rFonts w:cstheme="minorHAnsi"/>
          <w:lang w:val="sr-Latn-RS"/>
        </w:rPr>
        <w:t>akonu o volontiranju, poslodavac je obveznik plaćanja doprinosa za zdravstveno osiguranje od 2% i za penzijsko i invalidsko osiguranje od 4%</w:t>
      </w:r>
      <w:r w:rsidRPr="00A9310F">
        <w:rPr>
          <w:rFonts w:cstheme="minorHAnsi"/>
          <w:lang w:val="sr-Latn-RS"/>
        </w:rPr>
        <w:t xml:space="preserve"> za volontere sa kojima ima zaključen ugovor o volontiranju. Iako ovo finansijsko opterećenje za doprinose nije visoko, volonterske organizacije koje angažuju kao volontere </w:t>
      </w:r>
      <w:r w:rsidR="000F6AD6" w:rsidRPr="00A9310F">
        <w:rPr>
          <w:rFonts w:cstheme="minorHAnsi"/>
          <w:lang w:val="sr-Latn-RS"/>
        </w:rPr>
        <w:t xml:space="preserve">NEET mlade i posebno mlade koji napuštaju sistem socijalne zaštite trebalo </w:t>
      </w:r>
      <w:r w:rsidR="003F47BE" w:rsidRPr="00A9310F">
        <w:rPr>
          <w:rFonts w:cstheme="minorHAnsi"/>
          <w:lang w:val="sr-Latn-RS"/>
        </w:rPr>
        <w:t xml:space="preserve">bi </w:t>
      </w:r>
      <w:r w:rsidR="000F6AD6" w:rsidRPr="00A9310F">
        <w:rPr>
          <w:rFonts w:cstheme="minorHAnsi"/>
          <w:lang w:val="sr-Latn-RS"/>
        </w:rPr>
        <w:t xml:space="preserve">da budu oslobođene </w:t>
      </w:r>
      <w:r w:rsidR="00605AF4" w:rsidRPr="00A9310F">
        <w:rPr>
          <w:rFonts w:cstheme="minorHAnsi"/>
          <w:lang w:val="sr-Latn-RS"/>
        </w:rPr>
        <w:t xml:space="preserve">plaćanja </w:t>
      </w:r>
      <w:r w:rsidRPr="00A9310F">
        <w:rPr>
          <w:rFonts w:cstheme="minorHAnsi"/>
          <w:lang w:val="sr-Latn-RS"/>
        </w:rPr>
        <w:t>ovih doprinosa. Takođe, imaju</w:t>
      </w:r>
      <w:r w:rsidR="00605AF4" w:rsidRPr="00A9310F">
        <w:rPr>
          <w:rFonts w:cstheme="minorHAnsi"/>
          <w:lang w:val="sr-Latn-RS"/>
        </w:rPr>
        <w:t>ć</w:t>
      </w:r>
      <w:r w:rsidRPr="00A9310F">
        <w:rPr>
          <w:rFonts w:cstheme="minorHAnsi"/>
          <w:lang w:val="sr-Latn-RS"/>
        </w:rPr>
        <w:t xml:space="preserve">i u vidu </w:t>
      </w:r>
      <w:r w:rsidR="00BC3787" w:rsidRPr="00A9310F">
        <w:rPr>
          <w:rFonts w:cstheme="minorHAnsi"/>
          <w:lang w:val="sr-Latn-RS"/>
        </w:rPr>
        <w:t xml:space="preserve">činjenicu </w:t>
      </w:r>
      <w:r w:rsidRPr="00A9310F">
        <w:rPr>
          <w:rFonts w:cstheme="minorHAnsi"/>
          <w:lang w:val="sr-Latn-RS"/>
        </w:rPr>
        <w:t xml:space="preserve">da je NEET mladima i mladima koji napuštaju sistem alternativnog staranja naknada od volontiranja često jedini prihod, trebalo bi stvoriti zakonski osnov da se iz budžeta isplaćuju naknade </w:t>
      </w:r>
      <w:r w:rsidR="002C6008" w:rsidRPr="00A9310F">
        <w:rPr>
          <w:rFonts w:cstheme="minorHAnsi"/>
          <w:lang w:val="sr-Latn-RS"/>
        </w:rPr>
        <w:t>volonter</w:t>
      </w:r>
      <w:r w:rsidRPr="00A9310F">
        <w:rPr>
          <w:rFonts w:cstheme="minorHAnsi"/>
          <w:lang w:val="sr-Latn-RS"/>
        </w:rPr>
        <w:t xml:space="preserve">ima koji ulaze u kategoriju NEET mladih i mladih koji napuštaju sistem alternativnog staranja. Ova </w:t>
      </w:r>
      <w:r w:rsidR="00605AF4" w:rsidRPr="00A9310F">
        <w:rPr>
          <w:rFonts w:cstheme="minorHAnsi"/>
          <w:lang w:val="sr-Latn-RS"/>
        </w:rPr>
        <w:t xml:space="preserve"> </w:t>
      </w:r>
      <w:r w:rsidRPr="00A9310F">
        <w:rPr>
          <w:rFonts w:cstheme="minorHAnsi"/>
          <w:lang w:val="sr-Latn-RS"/>
        </w:rPr>
        <w:t xml:space="preserve">iznosi do </w:t>
      </w:r>
      <w:r w:rsidR="002C6008" w:rsidRPr="00A9310F">
        <w:rPr>
          <w:rFonts w:cstheme="minorHAnsi"/>
          <w:lang w:val="sr-Latn-RS"/>
        </w:rPr>
        <w:t>30% od neto iznosa minimalne mesečne zarade za puno radno vreme</w:t>
      </w:r>
      <w:r w:rsidR="00605AF4" w:rsidRPr="00A9310F">
        <w:rPr>
          <w:rFonts w:cstheme="minorHAnsi"/>
          <w:lang w:val="sr-Latn-RS"/>
        </w:rPr>
        <w:t xml:space="preserve">. </w:t>
      </w:r>
      <w:r w:rsidRPr="00A9310F">
        <w:rPr>
          <w:rFonts w:cstheme="minorHAnsi"/>
          <w:lang w:val="sr-Latn-RS"/>
        </w:rPr>
        <w:t>Na ovaj način bi se stvorio još jedan alternativni mehanizam, koji je lako dostupa</w:t>
      </w:r>
      <w:r w:rsidR="00BC3787" w:rsidRPr="00A9310F">
        <w:rPr>
          <w:rFonts w:cstheme="minorHAnsi"/>
          <w:lang w:val="sr-Latn-RS"/>
        </w:rPr>
        <w:t>n</w:t>
      </w:r>
      <w:r w:rsidRPr="00A9310F">
        <w:rPr>
          <w:rFonts w:cstheme="minorHAnsi"/>
          <w:lang w:val="sr-Latn-RS"/>
        </w:rPr>
        <w:t xml:space="preserve"> mladima iz rizičnih i društveno ugroženih grupa, da steknu odgovarajuće kompetencije</w:t>
      </w:r>
      <w:r w:rsidR="00BC3787" w:rsidRPr="00A9310F">
        <w:rPr>
          <w:rFonts w:cstheme="minorHAnsi"/>
          <w:lang w:val="sr-Latn-RS"/>
        </w:rPr>
        <w:t>,</w:t>
      </w:r>
      <w:r w:rsidRPr="00A9310F">
        <w:rPr>
          <w:rFonts w:cstheme="minorHAnsi"/>
          <w:lang w:val="sr-Latn-RS"/>
        </w:rPr>
        <w:t xml:space="preserve"> </w:t>
      </w:r>
      <w:r w:rsidR="00BC3787" w:rsidRPr="00A9310F">
        <w:rPr>
          <w:rFonts w:cstheme="minorHAnsi"/>
          <w:lang w:val="sr-Latn-RS"/>
        </w:rPr>
        <w:t>čime</w:t>
      </w:r>
      <w:r w:rsidRPr="00A9310F">
        <w:rPr>
          <w:rFonts w:cstheme="minorHAnsi"/>
          <w:lang w:val="sr-Latn-RS"/>
        </w:rPr>
        <w:t xml:space="preserve"> bi </w:t>
      </w:r>
      <w:r w:rsidR="00BC3787" w:rsidRPr="00A9310F">
        <w:rPr>
          <w:rFonts w:cstheme="minorHAnsi"/>
          <w:lang w:val="sr-Latn-RS"/>
        </w:rPr>
        <w:t xml:space="preserve">se </w:t>
      </w:r>
      <w:r w:rsidRPr="00A9310F">
        <w:rPr>
          <w:rFonts w:cstheme="minorHAnsi"/>
          <w:lang w:val="sr-Latn-RS"/>
        </w:rPr>
        <w:t>povećal</w:t>
      </w:r>
      <w:r w:rsidR="00BC3787" w:rsidRPr="00A9310F">
        <w:rPr>
          <w:rFonts w:cstheme="minorHAnsi"/>
          <w:lang w:val="sr-Latn-RS"/>
        </w:rPr>
        <w:t>a</w:t>
      </w:r>
      <w:r w:rsidRPr="00A9310F">
        <w:rPr>
          <w:rFonts w:cstheme="minorHAnsi"/>
          <w:lang w:val="sr-Latn-RS"/>
        </w:rPr>
        <w:t xml:space="preserve"> njihova konkurentnost na tržištu rada.</w:t>
      </w:r>
      <w:r w:rsidR="000F6AD6" w:rsidRPr="00A9310F">
        <w:rPr>
          <w:rFonts w:cstheme="minorHAnsi"/>
          <w:lang w:val="sr-Latn-RS"/>
        </w:rPr>
        <w:t xml:space="preserve"> </w:t>
      </w:r>
    </w:p>
    <w:p w14:paraId="3EE324A4" w14:textId="77777777" w:rsidR="00495869" w:rsidRPr="00A9310F" w:rsidRDefault="00495869" w:rsidP="00495869">
      <w:pPr>
        <w:pStyle w:val="Default"/>
        <w:spacing w:line="276" w:lineRule="auto"/>
        <w:jc w:val="both"/>
        <w:rPr>
          <w:rFonts w:asciiTheme="minorHAnsi" w:hAnsiTheme="minorHAnsi" w:cstheme="minorHAnsi"/>
          <w:sz w:val="22"/>
          <w:szCs w:val="22"/>
          <w:lang w:val="sr-Latn-RS"/>
        </w:rPr>
      </w:pPr>
    </w:p>
    <w:bookmarkEnd w:id="1"/>
    <w:p w14:paraId="00FFA5AD" w14:textId="32E220C7" w:rsidR="00E16FC8" w:rsidRPr="00A9310F" w:rsidRDefault="00E16FC8" w:rsidP="00E16FC8">
      <w:pPr>
        <w:shd w:val="clear" w:color="auto" w:fill="FFFFFF"/>
        <w:spacing w:after="0" w:line="276" w:lineRule="auto"/>
        <w:jc w:val="both"/>
        <w:rPr>
          <w:rFonts w:cstheme="minorHAnsi"/>
          <w:b/>
          <w:bCs/>
          <w:sz w:val="28"/>
          <w:szCs w:val="28"/>
          <w:lang w:val="sr-Latn-RS"/>
        </w:rPr>
      </w:pPr>
      <w:r w:rsidRPr="00A9310F">
        <w:rPr>
          <w:rFonts w:cstheme="minorHAnsi"/>
          <w:b/>
          <w:bCs/>
          <w:sz w:val="28"/>
          <w:szCs w:val="28"/>
          <w:lang w:val="sr-Latn-RS"/>
        </w:rPr>
        <w:t>Ministarstvo privrede</w:t>
      </w:r>
    </w:p>
    <w:p w14:paraId="28103787" w14:textId="7B11E727" w:rsidR="00E16FC8" w:rsidRPr="00A9310F" w:rsidRDefault="00E16FC8" w:rsidP="00E16FC8">
      <w:pPr>
        <w:shd w:val="clear" w:color="auto" w:fill="FFFFFF"/>
        <w:spacing w:after="0" w:line="276" w:lineRule="auto"/>
        <w:jc w:val="both"/>
        <w:rPr>
          <w:rFonts w:cstheme="minorHAnsi"/>
          <w:b/>
          <w:bCs/>
          <w:sz w:val="28"/>
          <w:szCs w:val="28"/>
          <w:lang w:val="sr-Latn-RS"/>
        </w:rPr>
      </w:pPr>
      <w:r w:rsidRPr="00A9310F">
        <w:rPr>
          <w:rFonts w:cstheme="minorHAnsi"/>
          <w:b/>
          <w:bCs/>
          <w:sz w:val="28"/>
          <w:szCs w:val="28"/>
          <w:lang w:val="sr-Latn-RS"/>
        </w:rPr>
        <w:t>Kneza Miloša 20</w:t>
      </w:r>
    </w:p>
    <w:p w14:paraId="74E4A6D9" w14:textId="007AA637" w:rsidR="00E16FC8" w:rsidRPr="00A9310F" w:rsidRDefault="00E16FC8" w:rsidP="00E16FC8">
      <w:pPr>
        <w:shd w:val="clear" w:color="auto" w:fill="FFFFFF"/>
        <w:spacing w:after="0" w:line="276" w:lineRule="auto"/>
        <w:jc w:val="both"/>
        <w:rPr>
          <w:rFonts w:cstheme="minorHAnsi"/>
          <w:b/>
          <w:bCs/>
          <w:sz w:val="28"/>
          <w:szCs w:val="28"/>
          <w:lang w:val="sr-Latn-RS"/>
        </w:rPr>
      </w:pPr>
      <w:r w:rsidRPr="00A9310F">
        <w:rPr>
          <w:rFonts w:cstheme="minorHAnsi"/>
          <w:b/>
          <w:bCs/>
          <w:sz w:val="28"/>
          <w:szCs w:val="28"/>
          <w:lang w:val="sr-Latn-RS"/>
        </w:rPr>
        <w:t>Beograd</w:t>
      </w:r>
    </w:p>
    <w:p w14:paraId="7C474A05" w14:textId="036396CC" w:rsidR="001A7EF2" w:rsidRPr="00A9310F" w:rsidRDefault="001A7EF2" w:rsidP="00E16FC8">
      <w:pPr>
        <w:shd w:val="clear" w:color="auto" w:fill="FFFFFF"/>
        <w:spacing w:after="0" w:line="276" w:lineRule="auto"/>
        <w:jc w:val="both"/>
        <w:rPr>
          <w:rFonts w:cstheme="minorHAnsi"/>
          <w:sz w:val="28"/>
          <w:szCs w:val="28"/>
          <w:lang w:val="sr-Latn-RS"/>
        </w:rPr>
      </w:pPr>
      <w:r w:rsidRPr="00A9310F">
        <w:rPr>
          <w:rFonts w:cstheme="minorHAnsi"/>
          <w:sz w:val="28"/>
          <w:szCs w:val="28"/>
          <w:lang w:val="sr-Latn-RS"/>
        </w:rPr>
        <w:t>E-mail: kabinet@privreda.gov.rs</w:t>
      </w:r>
    </w:p>
    <w:p w14:paraId="4E304767" w14:textId="27EBF08D" w:rsidR="00E16FC8" w:rsidRPr="00A9310F" w:rsidRDefault="00E16FC8" w:rsidP="00E16FC8">
      <w:pPr>
        <w:shd w:val="clear" w:color="auto" w:fill="FFFFFF"/>
        <w:spacing w:after="0" w:line="276" w:lineRule="auto"/>
        <w:jc w:val="both"/>
        <w:rPr>
          <w:rFonts w:cstheme="minorHAnsi"/>
          <w:b/>
          <w:bCs/>
          <w:sz w:val="28"/>
          <w:szCs w:val="28"/>
          <w:lang w:val="sr-Latn-RS"/>
        </w:rPr>
      </w:pPr>
      <w:r w:rsidRPr="00A9310F">
        <w:rPr>
          <w:rFonts w:cstheme="minorHAnsi"/>
          <w:b/>
          <w:bCs/>
          <w:sz w:val="28"/>
          <w:szCs w:val="28"/>
          <w:lang w:val="sr-Latn-RS"/>
        </w:rPr>
        <w:t xml:space="preserve">cc: </w:t>
      </w:r>
      <w:bookmarkStart w:id="2" w:name="_Hlk218095043"/>
      <w:r w:rsidRPr="00A9310F">
        <w:rPr>
          <w:rFonts w:cstheme="minorHAnsi"/>
          <w:b/>
          <w:bCs/>
          <w:sz w:val="28"/>
          <w:szCs w:val="28"/>
          <w:lang w:val="sr-Latn-RS"/>
        </w:rPr>
        <w:t>Privredna komora Srbije</w:t>
      </w:r>
    </w:p>
    <w:p w14:paraId="21780DC4" w14:textId="25FA124D" w:rsidR="00E16FC8" w:rsidRPr="00A9310F" w:rsidRDefault="00E16FC8" w:rsidP="00E16FC8">
      <w:pPr>
        <w:shd w:val="clear" w:color="auto" w:fill="FFFFFF"/>
        <w:spacing w:after="0" w:line="276" w:lineRule="auto"/>
        <w:jc w:val="both"/>
        <w:rPr>
          <w:rFonts w:cstheme="minorHAnsi"/>
          <w:b/>
          <w:bCs/>
          <w:sz w:val="28"/>
          <w:szCs w:val="28"/>
          <w:lang w:val="sr-Latn-RS"/>
        </w:rPr>
      </w:pPr>
      <w:r w:rsidRPr="00A9310F">
        <w:rPr>
          <w:rFonts w:cstheme="minorHAnsi"/>
          <w:b/>
          <w:bCs/>
          <w:sz w:val="28"/>
          <w:szCs w:val="28"/>
          <w:lang w:val="sr-Latn-RS"/>
        </w:rPr>
        <w:t>Resavska 13-15</w:t>
      </w:r>
    </w:p>
    <w:p w14:paraId="75C95D3A" w14:textId="3D867D11" w:rsidR="00E16FC8" w:rsidRPr="00A9310F" w:rsidRDefault="00E16FC8" w:rsidP="00E16FC8">
      <w:pPr>
        <w:shd w:val="clear" w:color="auto" w:fill="FFFFFF"/>
        <w:spacing w:after="0" w:line="276" w:lineRule="auto"/>
        <w:jc w:val="both"/>
        <w:rPr>
          <w:rFonts w:cstheme="minorHAnsi"/>
          <w:b/>
          <w:bCs/>
          <w:sz w:val="28"/>
          <w:szCs w:val="28"/>
          <w:lang w:val="sr-Latn-RS"/>
        </w:rPr>
      </w:pPr>
      <w:r w:rsidRPr="00A9310F">
        <w:rPr>
          <w:rFonts w:cstheme="minorHAnsi"/>
          <w:b/>
          <w:bCs/>
          <w:sz w:val="28"/>
          <w:szCs w:val="28"/>
          <w:lang w:val="sr-Latn-RS"/>
        </w:rPr>
        <w:t>11000 Beograd</w:t>
      </w:r>
      <w:bookmarkEnd w:id="2"/>
    </w:p>
    <w:p w14:paraId="14967F09" w14:textId="77777777" w:rsidR="00E16FC8" w:rsidRPr="00A9310F" w:rsidRDefault="00E16FC8" w:rsidP="00E16FC8">
      <w:pPr>
        <w:pStyle w:val="Default"/>
        <w:spacing w:line="276" w:lineRule="auto"/>
        <w:jc w:val="both"/>
        <w:rPr>
          <w:rFonts w:asciiTheme="minorHAnsi" w:hAnsiTheme="minorHAnsi" w:cstheme="minorHAnsi"/>
          <w:b/>
          <w:bCs/>
          <w:sz w:val="22"/>
          <w:szCs w:val="22"/>
          <w:lang w:val="sr-Latn-RS"/>
        </w:rPr>
      </w:pPr>
    </w:p>
    <w:p w14:paraId="4F3897D3" w14:textId="3989AE25" w:rsidR="00E16FC8" w:rsidRPr="00A9310F" w:rsidRDefault="00E16FC8" w:rsidP="00E16FC8">
      <w:pPr>
        <w:pStyle w:val="Default"/>
        <w:spacing w:line="276" w:lineRule="auto"/>
        <w:jc w:val="both"/>
        <w:rPr>
          <w:rFonts w:asciiTheme="minorHAnsi" w:hAnsiTheme="minorHAnsi" w:cstheme="minorHAnsi"/>
          <w:b/>
          <w:bCs/>
          <w:sz w:val="22"/>
          <w:szCs w:val="22"/>
          <w:lang w:val="sr-Latn-RS"/>
        </w:rPr>
      </w:pPr>
      <w:r w:rsidRPr="00A9310F">
        <w:rPr>
          <w:rFonts w:asciiTheme="minorHAnsi" w:hAnsiTheme="minorHAnsi" w:cstheme="minorHAnsi"/>
          <w:b/>
          <w:bCs/>
          <w:sz w:val="22"/>
          <w:szCs w:val="22"/>
          <w:lang w:val="sr-Latn-RS"/>
        </w:rPr>
        <w:t xml:space="preserve">Predmet: </w:t>
      </w:r>
      <w:r w:rsidR="00BC3787" w:rsidRPr="00A9310F">
        <w:rPr>
          <w:rFonts w:asciiTheme="minorHAnsi" w:hAnsiTheme="minorHAnsi" w:cstheme="minorHAnsi"/>
          <w:b/>
          <w:bCs/>
          <w:sz w:val="22"/>
          <w:szCs w:val="22"/>
          <w:lang w:val="sr-Latn-RS"/>
        </w:rPr>
        <w:t>P</w:t>
      </w:r>
      <w:r w:rsidRPr="00A9310F">
        <w:rPr>
          <w:rFonts w:asciiTheme="minorHAnsi" w:hAnsiTheme="minorHAnsi" w:cstheme="minorHAnsi"/>
          <w:b/>
          <w:bCs/>
          <w:sz w:val="22"/>
          <w:szCs w:val="22"/>
          <w:lang w:val="sr-Latn-RS"/>
        </w:rPr>
        <w:t>reporuke za unapređenje zapošljivosti mladih i posebno mladih u riziku</w:t>
      </w:r>
    </w:p>
    <w:p w14:paraId="49255750" w14:textId="1DFA360D" w:rsidR="00E16FC8" w:rsidRPr="00A9310F" w:rsidRDefault="00E16FC8" w:rsidP="00E16FC8">
      <w:pPr>
        <w:shd w:val="clear" w:color="auto" w:fill="FFFFFF" w:themeFill="background1"/>
        <w:spacing w:before="360" w:after="360" w:line="276" w:lineRule="auto"/>
        <w:jc w:val="both"/>
        <w:rPr>
          <w:rFonts w:cstheme="minorHAnsi"/>
          <w:color w:val="1F1F1F"/>
          <w:lang w:val="sr-Latn-RS"/>
        </w:rPr>
      </w:pPr>
      <w:r w:rsidRPr="00A9310F">
        <w:rPr>
          <w:rFonts w:cstheme="minorHAnsi"/>
          <w:lang w:val="sr-Latn-RS"/>
        </w:rPr>
        <w:lastRenderedPageBreak/>
        <w:t xml:space="preserve">Ove preporuke nastale </w:t>
      </w:r>
      <w:r w:rsidR="0018721C" w:rsidRPr="00A9310F">
        <w:rPr>
          <w:rFonts w:cstheme="minorHAnsi"/>
          <w:lang w:val="sr-Latn-RS"/>
        </w:rPr>
        <w:t xml:space="preserve">su </w:t>
      </w:r>
      <w:r w:rsidRPr="00A9310F">
        <w:rPr>
          <w:rFonts w:cstheme="minorHAnsi"/>
          <w:lang w:val="sr-Latn-RS"/>
        </w:rPr>
        <w:t xml:space="preserve">u sklopu širih aktivnosti Fondacije SOS Dečija sela, koje se odnose na praćenje i analizu </w:t>
      </w:r>
      <w:r w:rsidRPr="00A9310F">
        <w:rPr>
          <w:rFonts w:cstheme="minorHAnsi"/>
          <w:color w:val="1F1F1F"/>
          <w:lang w:val="sr-Latn-RS"/>
        </w:rPr>
        <w:t>javnih politika na republičkom, pokrajinskom i lokalnom nivou</w:t>
      </w:r>
      <w:r w:rsidR="00BC3787" w:rsidRPr="00A9310F">
        <w:rPr>
          <w:rFonts w:cstheme="minorHAnsi"/>
          <w:color w:val="1F1F1F"/>
          <w:lang w:val="sr-Latn-RS"/>
        </w:rPr>
        <w:t xml:space="preserve"> od</w:t>
      </w:r>
      <w:r w:rsidRPr="00A9310F">
        <w:rPr>
          <w:rFonts w:cstheme="minorHAnsi"/>
          <w:color w:val="1F1F1F"/>
          <w:lang w:val="sr-Latn-RS"/>
        </w:rPr>
        <w:t xml:space="preserve"> uticaja na položaj mladih u riziku i posebno položaj mladih koji napuštaju sistem alternativnog staranja. Razvijene su u okviru </w:t>
      </w:r>
      <w:r w:rsidR="00BC3787" w:rsidRPr="00A9310F">
        <w:rPr>
          <w:rFonts w:cstheme="minorHAnsi"/>
          <w:color w:val="1F1F1F"/>
          <w:lang w:val="sr-Latn-RS"/>
        </w:rPr>
        <w:t>r</w:t>
      </w:r>
      <w:r w:rsidRPr="00A9310F">
        <w:rPr>
          <w:rFonts w:cstheme="minorHAnsi"/>
          <w:color w:val="1F1F1F"/>
          <w:lang w:val="sr-Latn-RS"/>
        </w:rPr>
        <w:t xml:space="preserve">egionalnog projekta SOS Dečija sela „Jaki mladi – nove perspektive” (Youth Employment Creates Future Prospects, YEEP II), u delu koji sprovodi Fondacija. U okviru projekta YEEP II obrazovano </w:t>
      </w:r>
      <w:r w:rsidR="00BC3787" w:rsidRPr="00A9310F">
        <w:rPr>
          <w:rFonts w:cstheme="minorHAnsi"/>
          <w:color w:val="1F1F1F"/>
          <w:lang w:val="sr-Latn-RS"/>
        </w:rPr>
        <w:t xml:space="preserve">je </w:t>
      </w:r>
      <w:r w:rsidRPr="00A9310F">
        <w:rPr>
          <w:rFonts w:cstheme="minorHAnsi"/>
          <w:color w:val="1F1F1F"/>
          <w:lang w:val="sr-Latn-RS"/>
        </w:rPr>
        <w:t xml:space="preserve">i šest </w:t>
      </w:r>
      <w:r w:rsidR="00BC3787" w:rsidRPr="00A9310F">
        <w:rPr>
          <w:rFonts w:cstheme="minorHAnsi"/>
          <w:color w:val="1F1F1F"/>
          <w:lang w:val="sr-Latn-RS"/>
        </w:rPr>
        <w:t>o</w:t>
      </w:r>
      <w:r w:rsidRPr="00A9310F">
        <w:rPr>
          <w:rFonts w:cstheme="minorHAnsi"/>
          <w:color w:val="1F1F1F"/>
          <w:lang w:val="sr-Latn-RS"/>
        </w:rPr>
        <w:t xml:space="preserve">mladinskih klubova, u svakom gradu, odnosno opštini po jedan, a u saradnji sa partnerskim organizacijama Somborski edukativni centar, FORCA Požega, Edukativni centar Kruševac, Uradimo zajedno iz Kragujevca i TOC </w:t>
      </w:r>
      <w:r w:rsidR="00BC3787" w:rsidRPr="00A9310F">
        <w:rPr>
          <w:rFonts w:cstheme="minorHAnsi"/>
          <w:color w:val="1F1F1F"/>
          <w:lang w:val="sr-Latn-RS"/>
        </w:rPr>
        <w:t>‒</w:t>
      </w:r>
      <w:r w:rsidRPr="00A9310F">
        <w:rPr>
          <w:rFonts w:cstheme="minorHAnsi"/>
          <w:color w:val="1F1F1F"/>
          <w:lang w:val="sr-Latn-RS"/>
        </w:rPr>
        <w:t xml:space="preserve"> Asocijacija za razvoj održivih zajednica iz Zaječara. Na osnovu procene zagovaračkih kapaciteta, u </w:t>
      </w:r>
      <w:r w:rsidR="00BC3787" w:rsidRPr="00A9310F">
        <w:rPr>
          <w:rFonts w:cstheme="minorHAnsi"/>
          <w:color w:val="1F1F1F"/>
          <w:lang w:val="sr-Latn-RS"/>
        </w:rPr>
        <w:t>o</w:t>
      </w:r>
      <w:r w:rsidRPr="00A9310F">
        <w:rPr>
          <w:rFonts w:cstheme="minorHAnsi"/>
          <w:color w:val="1F1F1F"/>
          <w:lang w:val="sr-Latn-RS"/>
        </w:rPr>
        <w:t xml:space="preserve">mladinskim klubovima se, u koordinaciji sa NAPOR-om, identifikuju mladi koji bi dugoročno mogli da utiču, kroz same klubove a i na brojne druge načine, na unapređenje položaja mladih i posebno mladih u riziku. </w:t>
      </w:r>
    </w:p>
    <w:p w14:paraId="389373DA" w14:textId="7B1DB9E9" w:rsidR="00E16FC8" w:rsidRPr="00A9310F" w:rsidRDefault="00E16FC8" w:rsidP="003725A7">
      <w:pPr>
        <w:pStyle w:val="Default"/>
        <w:spacing w:line="276" w:lineRule="auto"/>
        <w:jc w:val="both"/>
        <w:rPr>
          <w:rFonts w:asciiTheme="minorHAnsi" w:hAnsiTheme="minorHAnsi" w:cstheme="minorHAnsi"/>
          <w:sz w:val="22"/>
          <w:szCs w:val="22"/>
          <w:lang w:val="sr-Latn-RS"/>
        </w:rPr>
      </w:pPr>
      <w:r w:rsidRPr="00A9310F">
        <w:rPr>
          <w:rFonts w:asciiTheme="minorHAnsi" w:hAnsiTheme="minorHAnsi" w:cstheme="minorHAnsi"/>
          <w:color w:val="1F1F1F"/>
          <w:sz w:val="22"/>
          <w:szCs w:val="22"/>
          <w:lang w:val="sr-Latn-RS"/>
        </w:rPr>
        <w:t xml:space="preserve">Preporuke čiji je cilj </w:t>
      </w:r>
      <w:r w:rsidRPr="00A9310F">
        <w:rPr>
          <w:rFonts w:asciiTheme="minorHAnsi" w:hAnsiTheme="minorHAnsi" w:cstheme="minorHAnsi"/>
          <w:sz w:val="22"/>
          <w:szCs w:val="22"/>
          <w:lang w:val="sr-Latn-RS"/>
        </w:rPr>
        <w:t xml:space="preserve">sagledavanje postojećih mogućnosti za povećanje zapošljivosti mladih koji nisu u </w:t>
      </w:r>
      <w:r w:rsidR="00461E57" w:rsidRPr="00A9310F">
        <w:rPr>
          <w:rFonts w:asciiTheme="minorHAnsi" w:hAnsiTheme="minorHAnsi" w:cstheme="minorHAnsi"/>
          <w:sz w:val="22"/>
          <w:szCs w:val="22"/>
          <w:lang w:val="sr-Latn-RS"/>
        </w:rPr>
        <w:t xml:space="preserve">sistemu </w:t>
      </w:r>
      <w:r w:rsidRPr="00A9310F">
        <w:rPr>
          <w:rFonts w:asciiTheme="minorHAnsi" w:hAnsiTheme="minorHAnsi" w:cstheme="minorHAnsi"/>
          <w:sz w:val="22"/>
          <w:szCs w:val="22"/>
          <w:lang w:val="sr-Latn-RS"/>
        </w:rPr>
        <w:t>obrazovanj</w:t>
      </w:r>
      <w:r w:rsidR="00461E57" w:rsidRPr="00A9310F">
        <w:rPr>
          <w:rFonts w:asciiTheme="minorHAnsi" w:hAnsiTheme="minorHAnsi" w:cstheme="minorHAnsi"/>
          <w:sz w:val="22"/>
          <w:szCs w:val="22"/>
          <w:lang w:val="sr-Latn-RS"/>
        </w:rPr>
        <w:t>a</w:t>
      </w:r>
      <w:r w:rsidRPr="00A9310F">
        <w:rPr>
          <w:rFonts w:asciiTheme="minorHAnsi" w:hAnsiTheme="minorHAnsi" w:cstheme="minorHAnsi"/>
          <w:sz w:val="22"/>
          <w:szCs w:val="22"/>
          <w:lang w:val="sr-Latn-RS"/>
        </w:rPr>
        <w:t>, zapošljavanj</w:t>
      </w:r>
      <w:r w:rsidR="00461E57" w:rsidRPr="00A9310F">
        <w:rPr>
          <w:rFonts w:asciiTheme="minorHAnsi" w:hAnsiTheme="minorHAnsi" w:cstheme="minorHAnsi"/>
          <w:sz w:val="22"/>
          <w:szCs w:val="22"/>
          <w:lang w:val="sr-Latn-RS"/>
        </w:rPr>
        <w:t>a</w:t>
      </w:r>
      <w:r w:rsidRPr="00A9310F">
        <w:rPr>
          <w:rFonts w:asciiTheme="minorHAnsi" w:hAnsiTheme="minorHAnsi" w:cstheme="minorHAnsi"/>
          <w:sz w:val="22"/>
          <w:szCs w:val="22"/>
          <w:lang w:val="sr-Latn-RS"/>
        </w:rPr>
        <w:t xml:space="preserve"> i obu</w:t>
      </w:r>
      <w:r w:rsidR="00461E57" w:rsidRPr="00A9310F">
        <w:rPr>
          <w:rFonts w:asciiTheme="minorHAnsi" w:hAnsiTheme="minorHAnsi" w:cstheme="minorHAnsi"/>
          <w:sz w:val="22"/>
          <w:szCs w:val="22"/>
          <w:lang w:val="sr-Latn-RS"/>
        </w:rPr>
        <w:t>ke</w:t>
      </w:r>
      <w:r w:rsidRPr="00A9310F">
        <w:rPr>
          <w:rFonts w:asciiTheme="minorHAnsi" w:hAnsiTheme="minorHAnsi" w:cstheme="minorHAnsi"/>
          <w:sz w:val="22"/>
          <w:szCs w:val="22"/>
          <w:lang w:val="sr-Latn-RS"/>
        </w:rPr>
        <w:t>, sa posebnim fokusom na mlade koji napuštaju sistem alternativnog staranja,</w:t>
      </w:r>
      <w:r w:rsidRPr="00A9310F">
        <w:rPr>
          <w:rFonts w:asciiTheme="minorHAnsi" w:hAnsiTheme="minorHAnsi" w:cstheme="minorHAnsi"/>
          <w:color w:val="1F1F1F"/>
          <w:sz w:val="22"/>
          <w:szCs w:val="22"/>
          <w:lang w:val="sr-Latn-RS"/>
        </w:rPr>
        <w:t xml:space="preserve"> </w:t>
      </w:r>
      <w:r w:rsidR="00BC3787" w:rsidRPr="00A9310F">
        <w:rPr>
          <w:rFonts w:asciiTheme="minorHAnsi" w:hAnsiTheme="minorHAnsi" w:cstheme="minorHAnsi"/>
          <w:color w:val="1F1F1F"/>
          <w:sz w:val="22"/>
          <w:szCs w:val="22"/>
          <w:lang w:val="sr-Latn-RS"/>
        </w:rPr>
        <w:t>predstavljaju</w:t>
      </w:r>
      <w:r w:rsidRPr="00A9310F">
        <w:rPr>
          <w:rFonts w:asciiTheme="minorHAnsi" w:hAnsiTheme="minorHAnsi" w:cstheme="minorHAnsi"/>
          <w:color w:val="1F1F1F"/>
          <w:sz w:val="22"/>
          <w:szCs w:val="22"/>
          <w:lang w:val="sr-Latn-RS"/>
        </w:rPr>
        <w:t xml:space="preserve"> rezultat detaljnih razgovora, na osnovu strukturisanih upitnika, sa predstavnicima svih partnerskih organizacija uključenih u projekat „Jaki mladi – nove perspektive”</w:t>
      </w:r>
      <w:r w:rsidR="00BC3787" w:rsidRPr="00A9310F">
        <w:rPr>
          <w:rFonts w:asciiTheme="minorHAnsi" w:hAnsiTheme="minorHAnsi" w:cstheme="minorHAnsi"/>
          <w:color w:val="1F1F1F"/>
          <w:sz w:val="22"/>
          <w:szCs w:val="22"/>
          <w:lang w:val="sr-Latn-RS"/>
        </w:rPr>
        <w:t xml:space="preserve">. One su </w:t>
      </w:r>
      <w:r w:rsidRPr="00A9310F">
        <w:rPr>
          <w:rFonts w:asciiTheme="minorHAnsi" w:hAnsiTheme="minorHAnsi" w:cstheme="minorHAnsi"/>
          <w:color w:val="1F1F1F"/>
          <w:sz w:val="22"/>
          <w:szCs w:val="22"/>
          <w:lang w:val="sr-Latn-RS"/>
        </w:rPr>
        <w:t xml:space="preserve">usmerene na unapređenje </w:t>
      </w:r>
      <w:r w:rsidRPr="00A9310F">
        <w:rPr>
          <w:rFonts w:asciiTheme="minorHAnsi" w:hAnsiTheme="minorHAnsi" w:cstheme="minorHAnsi"/>
          <w:sz w:val="22"/>
          <w:szCs w:val="22"/>
          <w:lang w:val="sr-Latn-RS"/>
        </w:rPr>
        <w:t xml:space="preserve">mogućnosti za povećanje zapošljivosti mladih koji nisu u </w:t>
      </w:r>
      <w:r w:rsidR="005139DA" w:rsidRPr="00A9310F">
        <w:rPr>
          <w:rFonts w:asciiTheme="minorHAnsi" w:hAnsiTheme="minorHAnsi" w:cstheme="minorHAnsi"/>
          <w:sz w:val="22"/>
          <w:szCs w:val="22"/>
          <w:lang w:val="sr-Latn-RS"/>
        </w:rPr>
        <w:t xml:space="preserve">sistemu </w:t>
      </w:r>
      <w:r w:rsidRPr="00A9310F">
        <w:rPr>
          <w:rFonts w:asciiTheme="minorHAnsi" w:hAnsiTheme="minorHAnsi" w:cstheme="minorHAnsi"/>
          <w:sz w:val="22"/>
          <w:szCs w:val="22"/>
          <w:lang w:val="sr-Latn-RS"/>
        </w:rPr>
        <w:t>obrazovanj</w:t>
      </w:r>
      <w:r w:rsidR="005139DA" w:rsidRPr="00A9310F">
        <w:rPr>
          <w:rFonts w:asciiTheme="minorHAnsi" w:hAnsiTheme="minorHAnsi" w:cstheme="minorHAnsi"/>
          <w:sz w:val="22"/>
          <w:szCs w:val="22"/>
          <w:lang w:val="sr-Latn-RS"/>
        </w:rPr>
        <w:t>a</w:t>
      </w:r>
      <w:r w:rsidRPr="00A9310F">
        <w:rPr>
          <w:rFonts w:asciiTheme="minorHAnsi" w:hAnsiTheme="minorHAnsi" w:cstheme="minorHAnsi"/>
          <w:sz w:val="22"/>
          <w:szCs w:val="22"/>
          <w:lang w:val="sr-Latn-RS"/>
        </w:rPr>
        <w:t>, zapošljavanj</w:t>
      </w:r>
      <w:r w:rsidR="005139DA" w:rsidRPr="00A9310F">
        <w:rPr>
          <w:rFonts w:asciiTheme="minorHAnsi" w:hAnsiTheme="minorHAnsi" w:cstheme="minorHAnsi"/>
          <w:sz w:val="22"/>
          <w:szCs w:val="22"/>
          <w:lang w:val="sr-Latn-RS"/>
        </w:rPr>
        <w:t>a</w:t>
      </w:r>
      <w:r w:rsidRPr="00A9310F">
        <w:rPr>
          <w:rFonts w:asciiTheme="minorHAnsi" w:hAnsiTheme="minorHAnsi" w:cstheme="minorHAnsi"/>
          <w:sz w:val="22"/>
          <w:szCs w:val="22"/>
          <w:lang w:val="sr-Latn-RS"/>
        </w:rPr>
        <w:t xml:space="preserve"> i obu</w:t>
      </w:r>
      <w:r w:rsidR="005139DA" w:rsidRPr="00A9310F">
        <w:rPr>
          <w:rFonts w:asciiTheme="minorHAnsi" w:hAnsiTheme="minorHAnsi" w:cstheme="minorHAnsi"/>
          <w:sz w:val="22"/>
          <w:szCs w:val="22"/>
          <w:lang w:val="sr-Latn-RS"/>
        </w:rPr>
        <w:t>ke</w:t>
      </w:r>
      <w:r w:rsidRPr="00A9310F">
        <w:rPr>
          <w:rFonts w:asciiTheme="minorHAnsi" w:hAnsiTheme="minorHAnsi" w:cstheme="minorHAnsi"/>
          <w:sz w:val="22"/>
          <w:szCs w:val="22"/>
          <w:lang w:val="sr-Latn-RS"/>
        </w:rPr>
        <w:t>, sa posebnim fokusom na mlade koji napuštaju sistem alternativnog staranja. Na šest onlajn fokus grupa</w:t>
      </w:r>
      <w:r w:rsidR="00BC3787" w:rsidRPr="00A9310F">
        <w:rPr>
          <w:rFonts w:asciiTheme="minorHAnsi" w:hAnsiTheme="minorHAnsi" w:cstheme="minorHAnsi"/>
          <w:sz w:val="22"/>
          <w:szCs w:val="22"/>
          <w:lang w:val="sr-Latn-RS"/>
        </w:rPr>
        <w:t>,</w:t>
      </w:r>
      <w:r w:rsidRPr="00A9310F">
        <w:rPr>
          <w:rFonts w:asciiTheme="minorHAnsi" w:hAnsiTheme="minorHAnsi" w:cstheme="minorHAnsi"/>
          <w:sz w:val="22"/>
          <w:szCs w:val="22"/>
          <w:lang w:val="sr-Latn-RS"/>
        </w:rPr>
        <w:t xml:space="preserve"> održanih u periodu od 24. do 26. novembra 2025. godine sa mladima iz </w:t>
      </w:r>
      <w:r w:rsidR="00BC3787" w:rsidRPr="00A9310F">
        <w:rPr>
          <w:rFonts w:asciiTheme="minorHAnsi" w:hAnsiTheme="minorHAnsi" w:cstheme="minorHAnsi"/>
          <w:sz w:val="22"/>
          <w:szCs w:val="22"/>
          <w:lang w:val="sr-Latn-RS"/>
        </w:rPr>
        <w:t>o</w:t>
      </w:r>
      <w:r w:rsidRPr="00A9310F">
        <w:rPr>
          <w:rFonts w:asciiTheme="minorHAnsi" w:hAnsiTheme="minorHAnsi" w:cstheme="minorHAnsi"/>
          <w:sz w:val="22"/>
          <w:szCs w:val="22"/>
          <w:lang w:val="sr-Latn-RS"/>
        </w:rPr>
        <w:t>mladinskih klubova, mladima koji su u procesu tranzicije ili već imaju iskustvo napuštanja sistema alternativnog staranja i sa drugim mladima u riziku iz svih šest lokalnih samouprava</w:t>
      </w:r>
      <w:r w:rsidR="00BC3787" w:rsidRPr="00A9310F">
        <w:rPr>
          <w:rFonts w:asciiTheme="minorHAnsi" w:hAnsiTheme="minorHAnsi" w:cstheme="minorHAnsi"/>
          <w:sz w:val="22"/>
          <w:szCs w:val="22"/>
          <w:lang w:val="sr-Latn-RS"/>
        </w:rPr>
        <w:t>,</w:t>
      </w:r>
      <w:r w:rsidRPr="00A9310F">
        <w:rPr>
          <w:rFonts w:asciiTheme="minorHAnsi" w:hAnsiTheme="minorHAnsi" w:cstheme="minorHAnsi"/>
          <w:sz w:val="22"/>
          <w:szCs w:val="22"/>
          <w:lang w:val="sr-Latn-RS"/>
        </w:rPr>
        <w:t xml:space="preserve"> predstavljeni </w:t>
      </w:r>
      <w:r w:rsidR="00BC3787" w:rsidRPr="00A9310F">
        <w:rPr>
          <w:rFonts w:asciiTheme="minorHAnsi" w:hAnsiTheme="minorHAnsi" w:cstheme="minorHAnsi"/>
          <w:sz w:val="22"/>
          <w:szCs w:val="22"/>
          <w:lang w:val="sr-Latn-RS"/>
        </w:rPr>
        <w:t xml:space="preserve">su </w:t>
      </w:r>
      <w:r w:rsidRPr="00A9310F">
        <w:rPr>
          <w:rFonts w:asciiTheme="minorHAnsi" w:hAnsiTheme="minorHAnsi" w:cstheme="minorHAnsi"/>
          <w:sz w:val="22"/>
          <w:szCs w:val="22"/>
          <w:lang w:val="sr-Latn-RS"/>
        </w:rPr>
        <w:t xml:space="preserve">predlozi preporuka i sa njima izvršena konačna prioritizacija i uobličavanje. </w:t>
      </w:r>
    </w:p>
    <w:p w14:paraId="54A55A54" w14:textId="77777777" w:rsidR="003725A7" w:rsidRPr="00A9310F" w:rsidRDefault="003725A7" w:rsidP="003725A7">
      <w:pPr>
        <w:spacing w:after="0" w:line="276" w:lineRule="auto"/>
        <w:jc w:val="both"/>
        <w:rPr>
          <w:lang w:val="sr-Latn-RS"/>
        </w:rPr>
      </w:pPr>
    </w:p>
    <w:p w14:paraId="57EFA5B5" w14:textId="73697F33" w:rsidR="003725A7" w:rsidRPr="00A9310F" w:rsidRDefault="003725A7" w:rsidP="003725A7">
      <w:pPr>
        <w:spacing w:after="0" w:line="276" w:lineRule="auto"/>
        <w:jc w:val="both"/>
        <w:rPr>
          <w:lang w:val="sr-Latn-RS"/>
        </w:rPr>
      </w:pPr>
      <w:r w:rsidRPr="00A9310F">
        <w:rPr>
          <w:lang w:val="sr-Latn-RS"/>
        </w:rPr>
        <w:t>Propisi, čije je praćenje u nadležnosti Min</w:t>
      </w:r>
      <w:r w:rsidR="002537D4" w:rsidRPr="00A9310F">
        <w:rPr>
          <w:lang w:val="sr-Latn-RS"/>
        </w:rPr>
        <w:t>i</w:t>
      </w:r>
      <w:r w:rsidRPr="00A9310F">
        <w:rPr>
          <w:lang w:val="sr-Latn-RS"/>
        </w:rPr>
        <w:t xml:space="preserve">starstva privrede, prepoznaju i nekoliko relativno novih mehanizama namenjenih povećanju socijalne inkluzije osetljivih društvenih grupa. Ovi mehanizmi su nedovoljno korišćeni i promovisani a mogli bi da budu koristan alat za povećanje zaposlenosti mladih u riziku. U Zakon o javnim nabavkama iz 2019. godine ugrađene </w:t>
      </w:r>
      <w:r w:rsidR="00BC3787" w:rsidRPr="00A9310F">
        <w:rPr>
          <w:lang w:val="sr-Latn-RS"/>
        </w:rPr>
        <w:t xml:space="preserve">su </w:t>
      </w:r>
      <w:r w:rsidRPr="00A9310F">
        <w:rPr>
          <w:lang w:val="sr-Latn-RS"/>
        </w:rPr>
        <w:t>odredbe koje bi trebalo da doprinesu poboljšanju društvene održivosti javnih nabavki. To su, između ostalog</w:t>
      </w:r>
      <w:r w:rsidR="00BC3787" w:rsidRPr="00A9310F">
        <w:rPr>
          <w:lang w:val="sr-Latn-RS"/>
        </w:rPr>
        <w:t>,</w:t>
      </w:r>
      <w:r w:rsidRPr="00A9310F">
        <w:rPr>
          <w:lang w:val="sr-Latn-RS"/>
        </w:rPr>
        <w:t xml:space="preserve"> i „zelene</w:t>
      </w:r>
      <w:r w:rsidR="00BC3787" w:rsidRPr="00A9310F">
        <w:rPr>
          <w:rFonts w:cstheme="minorHAnsi"/>
          <w:lang w:val="sr-Latn-RS"/>
        </w:rPr>
        <w:t>ˮ</w:t>
      </w:r>
      <w:r w:rsidRPr="00A9310F">
        <w:rPr>
          <w:lang w:val="sr-Latn-RS"/>
        </w:rPr>
        <w:t xml:space="preserve"> javne nabavke</w:t>
      </w:r>
      <w:r w:rsidR="00BC3787" w:rsidRPr="00A9310F">
        <w:rPr>
          <w:lang w:val="sr-Latn-RS"/>
        </w:rPr>
        <w:t>,</w:t>
      </w:r>
      <w:r w:rsidRPr="00A9310F">
        <w:rPr>
          <w:lang w:val="sr-Latn-RS"/>
        </w:rPr>
        <w:t xml:space="preserve"> kao i javne nabavke koje podržavaju inkluzivni razvoj, socijalnu koheziju i smanjenje siromaštva. U postupku dodele ugovora ekonomski najpovoljnijoj ponudi, odnos cene i kvaliteta, odnosno troška i kvaliteta</w:t>
      </w:r>
      <w:r w:rsidR="00BC3787" w:rsidRPr="00A9310F">
        <w:rPr>
          <w:lang w:val="sr-Latn-RS"/>
        </w:rPr>
        <w:t>,</w:t>
      </w:r>
      <w:r w:rsidRPr="00A9310F">
        <w:rPr>
          <w:lang w:val="sr-Latn-RS"/>
        </w:rPr>
        <w:t xml:space="preserve"> može da se ocenjuje i na osnovu kriterijuma koji uključuju ekološke i/ili socijalne aspekte, povezane sa predmetom ugovora o javnoj nabavci.   </w:t>
      </w:r>
    </w:p>
    <w:p w14:paraId="6EE2DCF0" w14:textId="77777777" w:rsidR="003725A7" w:rsidRPr="00A9310F" w:rsidRDefault="003725A7" w:rsidP="003725A7">
      <w:pPr>
        <w:spacing w:after="0" w:line="276" w:lineRule="auto"/>
        <w:jc w:val="both"/>
        <w:rPr>
          <w:lang w:val="sr-Latn-RS"/>
        </w:rPr>
      </w:pPr>
    </w:p>
    <w:p w14:paraId="7B593239" w14:textId="645BCD89" w:rsidR="003725A7" w:rsidRPr="00A9310F" w:rsidRDefault="003725A7" w:rsidP="000730C3">
      <w:pPr>
        <w:spacing w:line="276" w:lineRule="auto"/>
        <w:jc w:val="both"/>
        <w:rPr>
          <w:lang w:val="sr-Latn-RS"/>
        </w:rPr>
      </w:pPr>
      <w:r w:rsidRPr="00A9310F">
        <w:rPr>
          <w:lang w:val="sr-Latn-RS"/>
        </w:rPr>
        <w:t xml:space="preserve">U izveštaju Kancelarije za javne nabavke za 2024. godinu, objavljenom na Portalu javnih nabavki u martu 2025. godine, naručioci (državni organi, organi APV i JLS, preduzeća i ustanove koji su više od 50% finansirani iz budžeta ili </w:t>
      </w:r>
      <w:r w:rsidR="00BC3787" w:rsidRPr="00A9310F">
        <w:rPr>
          <w:lang w:val="sr-Latn-RS"/>
        </w:rPr>
        <w:t xml:space="preserve">ih </w:t>
      </w:r>
      <w:r w:rsidRPr="00A9310F">
        <w:rPr>
          <w:lang w:val="sr-Latn-RS"/>
        </w:rPr>
        <w:t>kontroli</w:t>
      </w:r>
      <w:r w:rsidR="00BC3787" w:rsidRPr="00A9310F">
        <w:rPr>
          <w:lang w:val="sr-Latn-RS"/>
        </w:rPr>
        <w:t>šu</w:t>
      </w:r>
      <w:r w:rsidRPr="00A9310F">
        <w:rPr>
          <w:lang w:val="sr-Latn-RS"/>
        </w:rPr>
        <w:t xml:space="preserve"> organ</w:t>
      </w:r>
      <w:r w:rsidR="00BC3787" w:rsidRPr="00A9310F">
        <w:rPr>
          <w:lang w:val="sr-Latn-RS"/>
        </w:rPr>
        <w:t>i</w:t>
      </w:r>
      <w:r w:rsidRPr="00A9310F">
        <w:rPr>
          <w:lang w:val="sr-Latn-RS"/>
        </w:rPr>
        <w:t xml:space="preserve"> javne vlasti) </w:t>
      </w:r>
      <w:r w:rsidR="000730C3" w:rsidRPr="00A9310F">
        <w:rPr>
          <w:lang w:val="sr-Latn-RS"/>
        </w:rPr>
        <w:t xml:space="preserve">su se </w:t>
      </w:r>
      <w:r w:rsidRPr="00A9310F">
        <w:rPr>
          <w:lang w:val="sr-Latn-RS"/>
        </w:rPr>
        <w:t xml:space="preserve">izjasnili da </w:t>
      </w:r>
      <w:r w:rsidR="00BC3787" w:rsidRPr="00A9310F">
        <w:rPr>
          <w:lang w:val="sr-Latn-RS"/>
        </w:rPr>
        <w:t xml:space="preserve">su </w:t>
      </w:r>
      <w:r w:rsidRPr="00A9310F">
        <w:rPr>
          <w:lang w:val="sr-Latn-RS"/>
        </w:rPr>
        <w:t>u 344 postupka javnih nabavki koristili socijalne aspekte u okviru tehničkih specifikacija, kriterijuma za dodelu ugovora ili posebnih uslova za izvršenje ugovora, što je za 204 postupka više u odnosu na 2023. godinu. U najvećem broj postupaka socijalni aspekti su korišćeni u okviru tehničkih specifikacija. Najčešći predmeti nabavki u kojima su korišćeni socijalni aspekti su: izgradnja, rekonstrukcij</w:t>
      </w:r>
      <w:r w:rsidR="000730C3" w:rsidRPr="00A9310F">
        <w:rPr>
          <w:lang w:val="sr-Latn-RS"/>
        </w:rPr>
        <w:t>a</w:t>
      </w:r>
      <w:r w:rsidRPr="00A9310F">
        <w:rPr>
          <w:lang w:val="sr-Latn-RS"/>
        </w:rPr>
        <w:t xml:space="preserve"> i dogradnja objekata, parkova, škola, rekonstrukcija i održavanje ulica, nabavka tehničkih specifikacija za ove radove. </w:t>
      </w:r>
    </w:p>
    <w:p w14:paraId="696F98F0" w14:textId="51942238" w:rsidR="00196E3D" w:rsidRPr="00A9310F" w:rsidRDefault="003725A7" w:rsidP="004259FD">
      <w:pPr>
        <w:spacing w:line="276" w:lineRule="auto"/>
        <w:jc w:val="both"/>
        <w:rPr>
          <w:rFonts w:cstheme="minorHAnsi"/>
          <w:lang w:val="sr-Latn-RS"/>
        </w:rPr>
      </w:pPr>
      <w:r w:rsidRPr="00A9310F">
        <w:rPr>
          <w:lang w:val="sr-Latn-RS"/>
        </w:rPr>
        <w:lastRenderedPageBreak/>
        <w:t>Integracij</w:t>
      </w:r>
      <w:r w:rsidR="000730C3" w:rsidRPr="00A9310F">
        <w:rPr>
          <w:lang w:val="sr-Latn-RS"/>
        </w:rPr>
        <w:t>om</w:t>
      </w:r>
      <w:r w:rsidRPr="00A9310F">
        <w:rPr>
          <w:lang w:val="sr-Latn-RS"/>
        </w:rPr>
        <w:t xml:space="preserve"> socijalnih kriterijuma u okviru tehničkih specifikacija, kriterijuma za dodelu ugovora ili posebnih uslova za izvršenje ugovora u ugovore, npr. investicione, povećala bi </w:t>
      </w:r>
      <w:r w:rsidR="000730C3" w:rsidRPr="00A9310F">
        <w:rPr>
          <w:lang w:val="sr-Latn-RS"/>
        </w:rPr>
        <w:t xml:space="preserve">se </w:t>
      </w:r>
      <w:r w:rsidRPr="00A9310F">
        <w:rPr>
          <w:lang w:val="sr-Latn-RS"/>
        </w:rPr>
        <w:t xml:space="preserve">mogućnost zapošljavanja određenih kategorija lica kao što su NEET mladi, Romi i Romkinje i osobe sa invaliditetom. U tom smislu, </w:t>
      </w:r>
      <w:r w:rsidR="000730C3" w:rsidRPr="00A9310F">
        <w:rPr>
          <w:lang w:val="sr-Latn-RS"/>
        </w:rPr>
        <w:t xml:space="preserve">potrebno je </w:t>
      </w:r>
      <w:r w:rsidR="0056009A" w:rsidRPr="00A9310F">
        <w:rPr>
          <w:rFonts w:cstheme="minorHAnsi"/>
          <w:lang w:val="sr-Latn-RS"/>
        </w:rPr>
        <w:t>dodatno promovisanje socijalnih kriterijuma u Zakonu o javnim nabavkama kroz povećan broj obuka za naručioce (Privredna komora Srbije) i usvajanje izmena Zakona o javnim nabavkama gde bi se detaljnije razvili i tzv. „socijalni kriterijumi” za ponuđače koji zapošljavaju NEET mlade i druga teže zapošljiva lica</w:t>
      </w:r>
      <w:r w:rsidRPr="00A9310F">
        <w:rPr>
          <w:rFonts w:cstheme="minorHAnsi"/>
          <w:lang w:val="sr-Latn-RS"/>
        </w:rPr>
        <w:t>.</w:t>
      </w:r>
    </w:p>
    <w:p w14:paraId="66C808C7" w14:textId="230597BB" w:rsidR="00555DF5" w:rsidRPr="00A9310F" w:rsidRDefault="00555DF5" w:rsidP="004259FD">
      <w:pPr>
        <w:spacing w:line="276" w:lineRule="auto"/>
        <w:jc w:val="both"/>
        <w:rPr>
          <w:rFonts w:cstheme="minorHAnsi"/>
          <w:lang w:val="sr-Latn-RS"/>
        </w:rPr>
      </w:pPr>
    </w:p>
    <w:p w14:paraId="289AA7D1" w14:textId="563B426A" w:rsidR="00555DF5" w:rsidRPr="00A9310F" w:rsidRDefault="00555DF5" w:rsidP="004259FD">
      <w:pPr>
        <w:spacing w:line="276" w:lineRule="auto"/>
        <w:jc w:val="both"/>
        <w:rPr>
          <w:rFonts w:cstheme="minorHAnsi"/>
          <w:b/>
          <w:bCs/>
          <w:sz w:val="28"/>
          <w:szCs w:val="28"/>
          <w:lang w:val="sr-Latn-RS"/>
        </w:rPr>
      </w:pPr>
      <w:r w:rsidRPr="00A9310F">
        <w:rPr>
          <w:rFonts w:cstheme="minorHAnsi"/>
          <w:b/>
          <w:bCs/>
          <w:sz w:val="28"/>
          <w:szCs w:val="28"/>
          <w:lang w:val="sr-Latn-RS"/>
        </w:rPr>
        <w:t>Grad/opština _______________________</w:t>
      </w:r>
    </w:p>
    <w:p w14:paraId="3A6FB752" w14:textId="3BD32BF0" w:rsidR="00555DF5" w:rsidRPr="00A9310F" w:rsidRDefault="00011F4E" w:rsidP="004259FD">
      <w:pPr>
        <w:spacing w:line="276" w:lineRule="auto"/>
        <w:jc w:val="both"/>
        <w:rPr>
          <w:rFonts w:cstheme="minorHAnsi"/>
          <w:b/>
          <w:bCs/>
          <w:sz w:val="28"/>
          <w:szCs w:val="28"/>
          <w:lang w:val="sr-Latn-RS"/>
        </w:rPr>
      </w:pPr>
      <w:r w:rsidRPr="00A9310F">
        <w:rPr>
          <w:rFonts w:cstheme="minorHAnsi"/>
          <w:b/>
          <w:bCs/>
          <w:sz w:val="28"/>
          <w:szCs w:val="28"/>
          <w:lang w:val="sr-Latn-RS"/>
        </w:rPr>
        <w:t>Kabinet gradonačelnika</w:t>
      </w:r>
      <w:r w:rsidR="00555DF5" w:rsidRPr="00A9310F">
        <w:rPr>
          <w:rFonts w:cstheme="minorHAnsi"/>
          <w:b/>
          <w:bCs/>
          <w:sz w:val="28"/>
          <w:szCs w:val="28"/>
          <w:lang w:val="sr-Latn-RS"/>
        </w:rPr>
        <w:t>/</w:t>
      </w:r>
      <w:r w:rsidRPr="00A9310F">
        <w:rPr>
          <w:rFonts w:cstheme="minorHAnsi"/>
          <w:b/>
          <w:bCs/>
          <w:sz w:val="28"/>
          <w:szCs w:val="28"/>
          <w:lang w:val="sr-Latn-RS"/>
        </w:rPr>
        <w:t>predsednika opštine</w:t>
      </w:r>
    </w:p>
    <w:p w14:paraId="26CE3E72" w14:textId="5B595369" w:rsidR="00555DF5" w:rsidRPr="00A9310F" w:rsidRDefault="00555DF5" w:rsidP="004259FD">
      <w:pPr>
        <w:spacing w:line="276" w:lineRule="auto"/>
        <w:jc w:val="both"/>
        <w:rPr>
          <w:rFonts w:cstheme="minorHAnsi"/>
          <w:b/>
          <w:bCs/>
          <w:sz w:val="28"/>
          <w:szCs w:val="28"/>
          <w:lang w:val="sr-Latn-RS"/>
        </w:rPr>
      </w:pPr>
      <w:r w:rsidRPr="00A9310F">
        <w:rPr>
          <w:rFonts w:cstheme="minorHAnsi"/>
          <w:b/>
          <w:bCs/>
          <w:sz w:val="28"/>
          <w:szCs w:val="28"/>
          <w:lang w:val="sr-Latn-RS"/>
        </w:rPr>
        <w:t>______________________________</w:t>
      </w:r>
    </w:p>
    <w:p w14:paraId="0CE1DABC" w14:textId="53187C6B" w:rsidR="00555DF5" w:rsidRPr="00A9310F" w:rsidRDefault="00555DF5" w:rsidP="004259FD">
      <w:pPr>
        <w:spacing w:line="276" w:lineRule="auto"/>
        <w:jc w:val="both"/>
        <w:rPr>
          <w:rFonts w:cstheme="minorHAnsi"/>
          <w:b/>
          <w:bCs/>
          <w:sz w:val="28"/>
          <w:szCs w:val="28"/>
          <w:lang w:val="sr-Latn-RS"/>
        </w:rPr>
      </w:pPr>
    </w:p>
    <w:p w14:paraId="1C8AB5A3" w14:textId="5F5AFBA3" w:rsidR="00555DF5" w:rsidRPr="00A9310F" w:rsidRDefault="00555DF5" w:rsidP="00555DF5">
      <w:pPr>
        <w:pStyle w:val="Default"/>
        <w:spacing w:line="276" w:lineRule="auto"/>
        <w:jc w:val="both"/>
        <w:rPr>
          <w:rFonts w:asciiTheme="minorHAnsi" w:hAnsiTheme="minorHAnsi" w:cstheme="minorHAnsi"/>
          <w:b/>
          <w:bCs/>
          <w:sz w:val="22"/>
          <w:szCs w:val="22"/>
          <w:lang w:val="sr-Latn-RS"/>
        </w:rPr>
      </w:pPr>
      <w:r w:rsidRPr="00A9310F">
        <w:rPr>
          <w:rFonts w:asciiTheme="minorHAnsi" w:hAnsiTheme="minorHAnsi" w:cstheme="minorHAnsi"/>
          <w:b/>
          <w:bCs/>
          <w:sz w:val="22"/>
          <w:szCs w:val="22"/>
          <w:lang w:val="sr-Latn-RS"/>
        </w:rPr>
        <w:t xml:space="preserve">Predmet: </w:t>
      </w:r>
      <w:r w:rsidR="000730C3" w:rsidRPr="00A9310F">
        <w:rPr>
          <w:rFonts w:asciiTheme="minorHAnsi" w:hAnsiTheme="minorHAnsi" w:cstheme="minorHAnsi"/>
          <w:b/>
          <w:bCs/>
          <w:sz w:val="22"/>
          <w:szCs w:val="22"/>
          <w:lang w:val="sr-Latn-RS"/>
        </w:rPr>
        <w:t>P</w:t>
      </w:r>
      <w:r w:rsidRPr="00A9310F">
        <w:rPr>
          <w:rFonts w:asciiTheme="minorHAnsi" w:hAnsiTheme="minorHAnsi" w:cstheme="minorHAnsi"/>
          <w:b/>
          <w:bCs/>
          <w:sz w:val="22"/>
          <w:szCs w:val="22"/>
          <w:lang w:val="sr-Latn-RS"/>
        </w:rPr>
        <w:t>reporuke za unapređenje zapošljivosti mladih i posebno mladih u riziku</w:t>
      </w:r>
    </w:p>
    <w:p w14:paraId="1066F2A1" w14:textId="2B67010D" w:rsidR="00555DF5" w:rsidRPr="00A9310F" w:rsidRDefault="00555DF5" w:rsidP="00555DF5">
      <w:pPr>
        <w:shd w:val="clear" w:color="auto" w:fill="FFFFFF" w:themeFill="background1"/>
        <w:spacing w:before="360" w:after="360" w:line="276" w:lineRule="auto"/>
        <w:jc w:val="both"/>
        <w:rPr>
          <w:rFonts w:cstheme="minorHAnsi"/>
          <w:color w:val="1F1F1F"/>
          <w:lang w:val="sr-Latn-RS"/>
        </w:rPr>
      </w:pPr>
      <w:r w:rsidRPr="00A9310F">
        <w:rPr>
          <w:rFonts w:cstheme="minorHAnsi"/>
          <w:lang w:val="sr-Latn-RS"/>
        </w:rPr>
        <w:t xml:space="preserve">Ove preporuke nastale </w:t>
      </w:r>
      <w:r w:rsidR="0018721C" w:rsidRPr="00A9310F">
        <w:rPr>
          <w:rFonts w:cstheme="minorHAnsi"/>
          <w:lang w:val="sr-Latn-RS"/>
        </w:rPr>
        <w:t xml:space="preserve">su </w:t>
      </w:r>
      <w:r w:rsidRPr="00A9310F">
        <w:rPr>
          <w:rFonts w:cstheme="minorHAnsi"/>
          <w:lang w:val="sr-Latn-RS"/>
        </w:rPr>
        <w:t xml:space="preserve">u sklopu širih aktivnosti Fondacije SOS Dečija sela, koje se odnose na praćenje i analizu </w:t>
      </w:r>
      <w:r w:rsidRPr="00A9310F">
        <w:rPr>
          <w:rFonts w:cstheme="minorHAnsi"/>
          <w:color w:val="1F1F1F"/>
          <w:lang w:val="sr-Latn-RS"/>
        </w:rPr>
        <w:t>javnih politika na republičkom, pokrajinskom i lokalnom nivou</w:t>
      </w:r>
      <w:r w:rsidR="000730C3" w:rsidRPr="00A9310F">
        <w:rPr>
          <w:rFonts w:cstheme="minorHAnsi"/>
          <w:color w:val="1F1F1F"/>
          <w:lang w:val="sr-Latn-RS"/>
        </w:rPr>
        <w:t xml:space="preserve"> od</w:t>
      </w:r>
      <w:r w:rsidRPr="00A9310F">
        <w:rPr>
          <w:rFonts w:cstheme="minorHAnsi"/>
          <w:color w:val="1F1F1F"/>
          <w:lang w:val="sr-Latn-RS"/>
        </w:rPr>
        <w:t xml:space="preserve"> uticaja na položaj mladih u riziku i posebno položaj mladih koji napuštaju sistem alternativnog staranja. Razvijene su u okviru </w:t>
      </w:r>
      <w:r w:rsidR="000730C3" w:rsidRPr="00A9310F">
        <w:rPr>
          <w:rFonts w:cstheme="minorHAnsi"/>
          <w:color w:val="1F1F1F"/>
          <w:lang w:val="sr-Latn-RS"/>
        </w:rPr>
        <w:t>r</w:t>
      </w:r>
      <w:r w:rsidRPr="00A9310F">
        <w:rPr>
          <w:rFonts w:cstheme="minorHAnsi"/>
          <w:color w:val="1F1F1F"/>
          <w:lang w:val="sr-Latn-RS"/>
        </w:rPr>
        <w:t xml:space="preserve">egionalnog projekta SOS Dečija sela „Jaki mladi – nove perspektive” (Youth Employment Creates Future Prospects, YEEP II), u delu koji sprovodi Fondacija. U okviru projekta YEEP II obrazovano </w:t>
      </w:r>
      <w:r w:rsidR="000730C3" w:rsidRPr="00A9310F">
        <w:rPr>
          <w:rFonts w:cstheme="minorHAnsi"/>
          <w:color w:val="1F1F1F"/>
          <w:lang w:val="sr-Latn-RS"/>
        </w:rPr>
        <w:t xml:space="preserve">je </w:t>
      </w:r>
      <w:r w:rsidRPr="00A9310F">
        <w:rPr>
          <w:rFonts w:cstheme="minorHAnsi"/>
          <w:color w:val="1F1F1F"/>
          <w:lang w:val="sr-Latn-RS"/>
        </w:rPr>
        <w:t xml:space="preserve">i šest </w:t>
      </w:r>
      <w:r w:rsidR="000730C3" w:rsidRPr="00A9310F">
        <w:rPr>
          <w:rFonts w:cstheme="minorHAnsi"/>
          <w:color w:val="1F1F1F"/>
          <w:lang w:val="sr-Latn-RS"/>
        </w:rPr>
        <w:t>o</w:t>
      </w:r>
      <w:r w:rsidRPr="00A9310F">
        <w:rPr>
          <w:rFonts w:cstheme="minorHAnsi"/>
          <w:color w:val="1F1F1F"/>
          <w:lang w:val="sr-Latn-RS"/>
        </w:rPr>
        <w:t>mladinskih klubova, u svakom gradu, odnosno opštini po jedan, a u saradnji sa partnerskim organizacijama Somborski edukativni centar, FORCA Požega, Edukativni centar Kruševac, Uradimo zajedno iz Kragujevca i TOC</w:t>
      </w:r>
      <w:r w:rsidR="000730C3" w:rsidRPr="00A9310F">
        <w:rPr>
          <w:rFonts w:cstheme="minorHAnsi"/>
          <w:color w:val="1F1F1F"/>
          <w:lang w:val="sr-Latn-RS"/>
        </w:rPr>
        <w:t xml:space="preserve"> ‒</w:t>
      </w:r>
      <w:r w:rsidRPr="00A9310F">
        <w:rPr>
          <w:rFonts w:cstheme="minorHAnsi"/>
          <w:color w:val="1F1F1F"/>
          <w:lang w:val="sr-Latn-RS"/>
        </w:rPr>
        <w:t xml:space="preserve"> Asocijacija za razvoj održivih zajednica iz Zaječara. Na osnovu procene zagovaračkih kapaciteta, u </w:t>
      </w:r>
      <w:r w:rsidR="000730C3" w:rsidRPr="00A9310F">
        <w:rPr>
          <w:rFonts w:cstheme="minorHAnsi"/>
          <w:color w:val="1F1F1F"/>
          <w:lang w:val="sr-Latn-RS"/>
        </w:rPr>
        <w:t>o</w:t>
      </w:r>
      <w:r w:rsidRPr="00A9310F">
        <w:rPr>
          <w:rFonts w:cstheme="minorHAnsi"/>
          <w:color w:val="1F1F1F"/>
          <w:lang w:val="sr-Latn-RS"/>
        </w:rPr>
        <w:t xml:space="preserve">mladinskim klubovima se, u koordinaciji sa NAPOR-om, identifikuju mladi koji bi dugoročno mogli da utiču, kroz same klubove a i na brojne druge načine, na unapređenje položaja mladih i posebno mladih u riziku. </w:t>
      </w:r>
    </w:p>
    <w:p w14:paraId="5876B7BE" w14:textId="6A0E76B4" w:rsidR="00555DF5" w:rsidRPr="00A9310F" w:rsidRDefault="00555DF5" w:rsidP="00555DF5">
      <w:pPr>
        <w:pStyle w:val="Default"/>
        <w:spacing w:line="276" w:lineRule="auto"/>
        <w:jc w:val="both"/>
        <w:rPr>
          <w:rFonts w:asciiTheme="minorHAnsi" w:hAnsiTheme="minorHAnsi" w:cstheme="minorHAnsi"/>
          <w:sz w:val="22"/>
          <w:szCs w:val="22"/>
          <w:lang w:val="sr-Latn-RS"/>
        </w:rPr>
      </w:pPr>
      <w:r w:rsidRPr="00A9310F">
        <w:rPr>
          <w:rFonts w:asciiTheme="minorHAnsi" w:hAnsiTheme="minorHAnsi" w:cstheme="minorHAnsi"/>
          <w:color w:val="1F1F1F"/>
          <w:sz w:val="22"/>
          <w:szCs w:val="22"/>
          <w:lang w:val="sr-Latn-RS"/>
        </w:rPr>
        <w:t xml:space="preserve">Preporuke čiji je cilj </w:t>
      </w:r>
      <w:r w:rsidRPr="00A9310F">
        <w:rPr>
          <w:rFonts w:asciiTheme="minorHAnsi" w:hAnsiTheme="minorHAnsi" w:cstheme="minorHAnsi"/>
          <w:sz w:val="22"/>
          <w:szCs w:val="22"/>
          <w:lang w:val="sr-Latn-RS"/>
        </w:rPr>
        <w:t xml:space="preserve">sagledavanje postojećih mogućnosti za povećanje zapošljivosti mladih koji nisu u </w:t>
      </w:r>
      <w:r w:rsidR="00461E57" w:rsidRPr="00A9310F">
        <w:rPr>
          <w:rFonts w:asciiTheme="minorHAnsi" w:hAnsiTheme="minorHAnsi" w:cstheme="minorHAnsi"/>
          <w:sz w:val="22"/>
          <w:szCs w:val="22"/>
          <w:lang w:val="sr-Latn-RS"/>
        </w:rPr>
        <w:t xml:space="preserve">sistemu </w:t>
      </w:r>
      <w:r w:rsidRPr="00A9310F">
        <w:rPr>
          <w:rFonts w:asciiTheme="minorHAnsi" w:hAnsiTheme="minorHAnsi" w:cstheme="minorHAnsi"/>
          <w:sz w:val="22"/>
          <w:szCs w:val="22"/>
          <w:lang w:val="sr-Latn-RS"/>
        </w:rPr>
        <w:t>obrazovanj</w:t>
      </w:r>
      <w:r w:rsidR="00461E57" w:rsidRPr="00A9310F">
        <w:rPr>
          <w:rFonts w:asciiTheme="minorHAnsi" w:hAnsiTheme="minorHAnsi" w:cstheme="minorHAnsi"/>
          <w:sz w:val="22"/>
          <w:szCs w:val="22"/>
          <w:lang w:val="sr-Latn-RS"/>
        </w:rPr>
        <w:t>a</w:t>
      </w:r>
      <w:r w:rsidRPr="00A9310F">
        <w:rPr>
          <w:rFonts w:asciiTheme="minorHAnsi" w:hAnsiTheme="minorHAnsi" w:cstheme="minorHAnsi"/>
          <w:sz w:val="22"/>
          <w:szCs w:val="22"/>
          <w:lang w:val="sr-Latn-RS"/>
        </w:rPr>
        <w:t>, zapošljavanj</w:t>
      </w:r>
      <w:r w:rsidR="00461E57" w:rsidRPr="00A9310F">
        <w:rPr>
          <w:rFonts w:asciiTheme="minorHAnsi" w:hAnsiTheme="minorHAnsi" w:cstheme="minorHAnsi"/>
          <w:sz w:val="22"/>
          <w:szCs w:val="22"/>
          <w:lang w:val="sr-Latn-RS"/>
        </w:rPr>
        <w:t>a</w:t>
      </w:r>
      <w:r w:rsidRPr="00A9310F">
        <w:rPr>
          <w:rFonts w:asciiTheme="minorHAnsi" w:hAnsiTheme="minorHAnsi" w:cstheme="minorHAnsi"/>
          <w:sz w:val="22"/>
          <w:szCs w:val="22"/>
          <w:lang w:val="sr-Latn-RS"/>
        </w:rPr>
        <w:t xml:space="preserve"> i obu</w:t>
      </w:r>
      <w:r w:rsidR="00461E57" w:rsidRPr="00A9310F">
        <w:rPr>
          <w:rFonts w:asciiTheme="minorHAnsi" w:hAnsiTheme="minorHAnsi" w:cstheme="minorHAnsi"/>
          <w:sz w:val="22"/>
          <w:szCs w:val="22"/>
          <w:lang w:val="sr-Latn-RS"/>
        </w:rPr>
        <w:t>ke</w:t>
      </w:r>
      <w:r w:rsidRPr="00A9310F">
        <w:rPr>
          <w:rFonts w:asciiTheme="minorHAnsi" w:hAnsiTheme="minorHAnsi" w:cstheme="minorHAnsi"/>
          <w:sz w:val="22"/>
          <w:szCs w:val="22"/>
          <w:lang w:val="sr-Latn-RS"/>
        </w:rPr>
        <w:t>, sa posebnim fokusom na mlade koji napuštaju sistem alternativnog staranja,</w:t>
      </w:r>
      <w:r w:rsidRPr="00A9310F">
        <w:rPr>
          <w:rFonts w:asciiTheme="minorHAnsi" w:hAnsiTheme="minorHAnsi" w:cstheme="minorHAnsi"/>
          <w:color w:val="1F1F1F"/>
          <w:sz w:val="22"/>
          <w:szCs w:val="22"/>
          <w:lang w:val="sr-Latn-RS"/>
        </w:rPr>
        <w:t xml:space="preserve"> </w:t>
      </w:r>
      <w:r w:rsidR="000730C3" w:rsidRPr="00A9310F">
        <w:rPr>
          <w:rFonts w:asciiTheme="minorHAnsi" w:hAnsiTheme="minorHAnsi" w:cstheme="minorHAnsi"/>
          <w:color w:val="1F1F1F"/>
          <w:sz w:val="22"/>
          <w:szCs w:val="22"/>
          <w:lang w:val="sr-Latn-RS"/>
        </w:rPr>
        <w:t>predstavljaju</w:t>
      </w:r>
      <w:r w:rsidRPr="00A9310F">
        <w:rPr>
          <w:rFonts w:asciiTheme="minorHAnsi" w:hAnsiTheme="minorHAnsi" w:cstheme="minorHAnsi"/>
          <w:color w:val="1F1F1F"/>
          <w:sz w:val="22"/>
          <w:szCs w:val="22"/>
          <w:lang w:val="sr-Latn-RS"/>
        </w:rPr>
        <w:t xml:space="preserve"> rezultat detaljnih razgovora, na osnovu strukturisanih upitnika, sa predstavnicima svih partnerskih organizacija uključenih u projekat „Jaki mladi – nove perspektive”</w:t>
      </w:r>
      <w:r w:rsidR="000730C3" w:rsidRPr="00A9310F">
        <w:rPr>
          <w:rFonts w:asciiTheme="minorHAnsi" w:hAnsiTheme="minorHAnsi" w:cstheme="minorHAnsi"/>
          <w:color w:val="1F1F1F"/>
          <w:sz w:val="22"/>
          <w:szCs w:val="22"/>
          <w:lang w:val="sr-Latn-RS"/>
        </w:rPr>
        <w:t>. One su</w:t>
      </w:r>
      <w:r w:rsidRPr="00A9310F">
        <w:rPr>
          <w:rFonts w:asciiTheme="minorHAnsi" w:hAnsiTheme="minorHAnsi" w:cstheme="minorHAnsi"/>
          <w:color w:val="1F1F1F"/>
          <w:sz w:val="22"/>
          <w:szCs w:val="22"/>
          <w:lang w:val="sr-Latn-RS"/>
        </w:rPr>
        <w:t xml:space="preserve"> usmerene na unapređenje </w:t>
      </w:r>
      <w:r w:rsidRPr="00A9310F">
        <w:rPr>
          <w:rFonts w:asciiTheme="minorHAnsi" w:hAnsiTheme="minorHAnsi" w:cstheme="minorHAnsi"/>
          <w:sz w:val="22"/>
          <w:szCs w:val="22"/>
          <w:lang w:val="sr-Latn-RS"/>
        </w:rPr>
        <w:t xml:space="preserve">mogućnosti za povećanje zapošljivosti mladih koji nisu u </w:t>
      </w:r>
      <w:r w:rsidR="00461E57" w:rsidRPr="00A9310F">
        <w:rPr>
          <w:rFonts w:asciiTheme="minorHAnsi" w:hAnsiTheme="minorHAnsi" w:cstheme="minorHAnsi"/>
          <w:sz w:val="22"/>
          <w:szCs w:val="22"/>
          <w:lang w:val="sr-Latn-RS"/>
        </w:rPr>
        <w:t xml:space="preserve">sistemu </w:t>
      </w:r>
      <w:r w:rsidRPr="00A9310F">
        <w:rPr>
          <w:rFonts w:asciiTheme="minorHAnsi" w:hAnsiTheme="minorHAnsi" w:cstheme="minorHAnsi"/>
          <w:sz w:val="22"/>
          <w:szCs w:val="22"/>
          <w:lang w:val="sr-Latn-RS"/>
        </w:rPr>
        <w:t>obrazovanj</w:t>
      </w:r>
      <w:r w:rsidR="00461E57" w:rsidRPr="00A9310F">
        <w:rPr>
          <w:rFonts w:asciiTheme="minorHAnsi" w:hAnsiTheme="minorHAnsi" w:cstheme="minorHAnsi"/>
          <w:sz w:val="22"/>
          <w:szCs w:val="22"/>
          <w:lang w:val="sr-Latn-RS"/>
        </w:rPr>
        <w:t>a</w:t>
      </w:r>
      <w:r w:rsidRPr="00A9310F">
        <w:rPr>
          <w:rFonts w:asciiTheme="minorHAnsi" w:hAnsiTheme="minorHAnsi" w:cstheme="minorHAnsi"/>
          <w:sz w:val="22"/>
          <w:szCs w:val="22"/>
          <w:lang w:val="sr-Latn-RS"/>
        </w:rPr>
        <w:t>, zapošljavanj</w:t>
      </w:r>
      <w:r w:rsidR="00461E57" w:rsidRPr="00A9310F">
        <w:rPr>
          <w:rFonts w:asciiTheme="minorHAnsi" w:hAnsiTheme="minorHAnsi" w:cstheme="minorHAnsi"/>
          <w:sz w:val="22"/>
          <w:szCs w:val="22"/>
          <w:lang w:val="sr-Latn-RS"/>
        </w:rPr>
        <w:t>a</w:t>
      </w:r>
      <w:r w:rsidRPr="00A9310F">
        <w:rPr>
          <w:rFonts w:asciiTheme="minorHAnsi" w:hAnsiTheme="minorHAnsi" w:cstheme="minorHAnsi"/>
          <w:sz w:val="22"/>
          <w:szCs w:val="22"/>
          <w:lang w:val="sr-Latn-RS"/>
        </w:rPr>
        <w:t xml:space="preserve"> i obu</w:t>
      </w:r>
      <w:r w:rsidR="00461E57" w:rsidRPr="00A9310F">
        <w:rPr>
          <w:rFonts w:asciiTheme="minorHAnsi" w:hAnsiTheme="minorHAnsi" w:cstheme="minorHAnsi"/>
          <w:sz w:val="22"/>
          <w:szCs w:val="22"/>
          <w:lang w:val="sr-Latn-RS"/>
        </w:rPr>
        <w:t>ke</w:t>
      </w:r>
      <w:r w:rsidRPr="00A9310F">
        <w:rPr>
          <w:rFonts w:asciiTheme="minorHAnsi" w:hAnsiTheme="minorHAnsi" w:cstheme="minorHAnsi"/>
          <w:sz w:val="22"/>
          <w:szCs w:val="22"/>
          <w:lang w:val="sr-Latn-RS"/>
        </w:rPr>
        <w:t>, sa posebnim fokusom na mlade koji napuštaju sistem alternativnog staranja. Na šest onlajn fokus grupa</w:t>
      </w:r>
      <w:r w:rsidR="0018721C" w:rsidRPr="00A9310F">
        <w:rPr>
          <w:rFonts w:asciiTheme="minorHAnsi" w:hAnsiTheme="minorHAnsi" w:cstheme="minorHAnsi"/>
          <w:sz w:val="22"/>
          <w:szCs w:val="22"/>
          <w:lang w:val="sr-Latn-RS"/>
        </w:rPr>
        <w:t>,</w:t>
      </w:r>
      <w:r w:rsidRPr="00A9310F">
        <w:rPr>
          <w:rFonts w:asciiTheme="minorHAnsi" w:hAnsiTheme="minorHAnsi" w:cstheme="minorHAnsi"/>
          <w:sz w:val="22"/>
          <w:szCs w:val="22"/>
          <w:lang w:val="sr-Latn-RS"/>
        </w:rPr>
        <w:t xml:space="preserve"> održanih u periodu od 24. do 26. novembra 2025. godine sa mladima iz </w:t>
      </w:r>
      <w:r w:rsidR="000730C3" w:rsidRPr="00A9310F">
        <w:rPr>
          <w:rFonts w:asciiTheme="minorHAnsi" w:hAnsiTheme="minorHAnsi" w:cstheme="minorHAnsi"/>
          <w:sz w:val="22"/>
          <w:szCs w:val="22"/>
          <w:lang w:val="sr-Latn-RS"/>
        </w:rPr>
        <w:t>o</w:t>
      </w:r>
      <w:r w:rsidRPr="00A9310F">
        <w:rPr>
          <w:rFonts w:asciiTheme="minorHAnsi" w:hAnsiTheme="minorHAnsi" w:cstheme="minorHAnsi"/>
          <w:sz w:val="22"/>
          <w:szCs w:val="22"/>
          <w:lang w:val="sr-Latn-RS"/>
        </w:rPr>
        <w:t>mladinskih klubova, mladima koji su u procesu tranzicije ili već imaju iskustvo napuštanja sistema alternativnog staranja i sa drugim mladima u riziku iz svih šest lokalnih samouprava</w:t>
      </w:r>
      <w:r w:rsidR="0018721C" w:rsidRPr="00A9310F">
        <w:rPr>
          <w:rFonts w:asciiTheme="minorHAnsi" w:hAnsiTheme="minorHAnsi" w:cstheme="minorHAnsi"/>
          <w:sz w:val="22"/>
          <w:szCs w:val="22"/>
          <w:lang w:val="sr-Latn-RS"/>
        </w:rPr>
        <w:t>,</w:t>
      </w:r>
      <w:r w:rsidRPr="00A9310F">
        <w:rPr>
          <w:rFonts w:asciiTheme="minorHAnsi" w:hAnsiTheme="minorHAnsi" w:cstheme="minorHAnsi"/>
          <w:sz w:val="22"/>
          <w:szCs w:val="22"/>
          <w:lang w:val="sr-Latn-RS"/>
        </w:rPr>
        <w:t xml:space="preserve"> predstavljeni </w:t>
      </w:r>
      <w:r w:rsidR="000730C3" w:rsidRPr="00A9310F">
        <w:rPr>
          <w:rFonts w:asciiTheme="minorHAnsi" w:hAnsiTheme="minorHAnsi" w:cstheme="minorHAnsi"/>
          <w:sz w:val="22"/>
          <w:szCs w:val="22"/>
          <w:lang w:val="sr-Latn-RS"/>
        </w:rPr>
        <w:t xml:space="preserve">su </w:t>
      </w:r>
      <w:r w:rsidRPr="00A9310F">
        <w:rPr>
          <w:rFonts w:asciiTheme="minorHAnsi" w:hAnsiTheme="minorHAnsi" w:cstheme="minorHAnsi"/>
          <w:sz w:val="22"/>
          <w:szCs w:val="22"/>
          <w:lang w:val="sr-Latn-RS"/>
        </w:rPr>
        <w:t xml:space="preserve">predlozi preporuka i sa njima izvršena konačna prioritizacija i uobličavanje. </w:t>
      </w:r>
    </w:p>
    <w:p w14:paraId="167EE102" w14:textId="69BEE898" w:rsidR="00555DF5" w:rsidRPr="00A9310F" w:rsidRDefault="00555DF5" w:rsidP="004259FD">
      <w:pPr>
        <w:spacing w:line="276" w:lineRule="auto"/>
        <w:jc w:val="both"/>
        <w:rPr>
          <w:rFonts w:cstheme="minorHAnsi"/>
          <w:b/>
          <w:bCs/>
          <w:lang w:val="sr-Latn-RS"/>
        </w:rPr>
      </w:pPr>
    </w:p>
    <w:p w14:paraId="5BEDF2B9" w14:textId="577D79D9" w:rsidR="00555DF5" w:rsidRPr="00A9310F" w:rsidRDefault="00555DF5" w:rsidP="004259FD">
      <w:pPr>
        <w:spacing w:line="276" w:lineRule="auto"/>
        <w:jc w:val="both"/>
        <w:rPr>
          <w:rFonts w:cstheme="minorHAnsi"/>
          <w:b/>
          <w:bCs/>
          <w:lang w:val="sr-Latn-RS"/>
        </w:rPr>
      </w:pPr>
      <w:r w:rsidRPr="00A9310F">
        <w:rPr>
          <w:rFonts w:cstheme="minorHAnsi"/>
          <w:b/>
          <w:bCs/>
          <w:lang w:val="sr-Latn-RS"/>
        </w:rPr>
        <w:lastRenderedPageBreak/>
        <w:t xml:space="preserve">Preporuka br. 1 </w:t>
      </w:r>
    </w:p>
    <w:p w14:paraId="1CC041E5" w14:textId="04B1D05E" w:rsidR="00555DF5" w:rsidRPr="00A9310F" w:rsidRDefault="00555DF5" w:rsidP="004D07A8">
      <w:pPr>
        <w:spacing w:line="276" w:lineRule="auto"/>
        <w:ind w:left="360"/>
        <w:jc w:val="both"/>
        <w:rPr>
          <w:b/>
          <w:lang w:val="sr-Latn-RS"/>
        </w:rPr>
      </w:pPr>
      <w:r w:rsidRPr="00A9310F">
        <w:rPr>
          <w:rFonts w:cstheme="minorHAnsi"/>
          <w:lang w:val="sr-Latn-RS"/>
        </w:rPr>
        <w:t>Javnim pozivom za finansiranje i sufinansiranje projekata mladih i za mlade za 2026. godinu obavezno obuhvatiti projekt</w:t>
      </w:r>
      <w:r w:rsidR="000730C3" w:rsidRPr="00A9310F">
        <w:rPr>
          <w:rFonts w:cstheme="minorHAnsi"/>
          <w:lang w:val="sr-Latn-RS"/>
        </w:rPr>
        <w:t>n</w:t>
      </w:r>
      <w:r w:rsidRPr="00A9310F">
        <w:rPr>
          <w:rFonts w:cstheme="minorHAnsi"/>
          <w:lang w:val="sr-Latn-RS"/>
        </w:rPr>
        <w:t xml:space="preserve">e aktivnosti koje se odnose na aktivaciju NEET mladih, karijerno vođenje i savetovanje koje je specijalizovano za potrebe NEET mladih i ostalih mladih u riziku, </w:t>
      </w:r>
      <w:r w:rsidRPr="00A9310F">
        <w:rPr>
          <w:lang w:val="sr-Latn-RS"/>
        </w:rPr>
        <w:t>podizanje veština i znanja neophodnih za efikasno uključivanje na tržište rada</w:t>
      </w:r>
      <w:r w:rsidR="000730C3" w:rsidRPr="00A9310F">
        <w:rPr>
          <w:lang w:val="sr-Latn-RS"/>
        </w:rPr>
        <w:t>,</w:t>
      </w:r>
      <w:r w:rsidRPr="00A9310F">
        <w:rPr>
          <w:lang w:val="sr-Latn-RS"/>
        </w:rPr>
        <w:t xml:space="preserve"> kao i pružanje individualizovane podrške mladima u riziku</w:t>
      </w:r>
      <w:r w:rsidR="003667E0" w:rsidRPr="00A9310F">
        <w:rPr>
          <w:lang w:val="sr-Latn-RS"/>
        </w:rPr>
        <w:t>.</w:t>
      </w:r>
    </w:p>
    <w:p w14:paraId="3B6CA922" w14:textId="5309F583" w:rsidR="003667E0" w:rsidRPr="00A9310F" w:rsidRDefault="003667E0" w:rsidP="003667E0">
      <w:pPr>
        <w:spacing w:line="276" w:lineRule="auto"/>
        <w:ind w:left="360"/>
        <w:jc w:val="both"/>
        <w:rPr>
          <w:b/>
          <w:lang w:val="sr-Latn-RS"/>
        </w:rPr>
      </w:pPr>
      <w:r w:rsidRPr="00A9310F">
        <w:rPr>
          <w:b/>
          <w:lang w:val="sr-Latn-RS"/>
        </w:rPr>
        <w:t>Preporuka br. 2</w:t>
      </w:r>
    </w:p>
    <w:p w14:paraId="373C2593" w14:textId="0725462C" w:rsidR="00555DF5" w:rsidRPr="00A9310F" w:rsidRDefault="003667E0" w:rsidP="00A9310F">
      <w:pPr>
        <w:ind w:left="360"/>
        <w:jc w:val="both"/>
        <w:rPr>
          <w:b/>
          <w:lang w:val="sr-Latn-RS"/>
        </w:rPr>
      </w:pPr>
      <w:r w:rsidRPr="00A9310F">
        <w:rPr>
          <w:rFonts w:cstheme="minorHAnsi"/>
          <w:lang w:val="sr-Latn-RS"/>
        </w:rPr>
        <w:t xml:space="preserve">Uvođenje dela internet prezentacije grada/opštine koji je posvećen informacijama od primarnog značaja za mlade u riziku (dostupni programi prekvalifikacije i dokvalifikacije, savetodavna psihosocijalna i radno-pravna podrška, konkursi, radne prakse). Ovaj deo </w:t>
      </w:r>
      <w:r w:rsidR="000730C3" w:rsidRPr="00A9310F">
        <w:rPr>
          <w:rFonts w:cstheme="minorHAnsi"/>
          <w:lang w:val="sr-Latn-RS"/>
        </w:rPr>
        <w:t>i</w:t>
      </w:r>
      <w:r w:rsidRPr="00A9310F">
        <w:rPr>
          <w:rFonts w:cstheme="minorHAnsi"/>
          <w:lang w:val="sr-Latn-RS"/>
        </w:rPr>
        <w:t>nternet prezentacije bi trebalo da bude vidljiv na naslovnoj strani prezentacije (baner na naslovnoj strani).</w:t>
      </w:r>
    </w:p>
    <w:p w14:paraId="224224F6" w14:textId="60656DF6" w:rsidR="003667E0" w:rsidRPr="00A9310F" w:rsidRDefault="003667E0" w:rsidP="003667E0">
      <w:pPr>
        <w:spacing w:line="276" w:lineRule="auto"/>
        <w:ind w:left="360"/>
        <w:jc w:val="both"/>
        <w:rPr>
          <w:b/>
          <w:lang w:val="sr-Latn-RS"/>
        </w:rPr>
      </w:pPr>
      <w:r w:rsidRPr="00A9310F">
        <w:rPr>
          <w:b/>
          <w:lang w:val="sr-Latn-RS"/>
        </w:rPr>
        <w:t>Preporuka br. 3</w:t>
      </w:r>
    </w:p>
    <w:p w14:paraId="1405F24E" w14:textId="3A2A6DD6" w:rsidR="003667E0" w:rsidRPr="00A9310F" w:rsidRDefault="003667E0" w:rsidP="00A9310F">
      <w:pPr>
        <w:ind w:left="360"/>
        <w:jc w:val="both"/>
        <w:rPr>
          <w:rFonts w:ascii="Calibri" w:hAnsi="Calibri" w:cs="Calibri"/>
          <w:lang w:val="sr-Latn-RS"/>
        </w:rPr>
      </w:pPr>
      <w:r w:rsidRPr="00A9310F">
        <w:rPr>
          <w:lang w:val="sr-Latn-RS"/>
        </w:rPr>
        <w:t>Uspostaviti jasnu metodologiju ocene efekata pojedinačnih mera koje se sprovode kroz Lokalni akcioni plan zapošljavanja usvajanje</w:t>
      </w:r>
      <w:r w:rsidR="000730C3" w:rsidRPr="00A9310F">
        <w:rPr>
          <w:lang w:val="sr-Latn-RS"/>
        </w:rPr>
        <w:t>m</w:t>
      </w:r>
      <w:r w:rsidRPr="00A9310F">
        <w:rPr>
          <w:lang w:val="sr-Latn-RS"/>
        </w:rPr>
        <w:t xml:space="preserve"> jasnih i merljivih indikatora na osnovu kojih bi se merili efekti mera predviđenih LAPZ</w:t>
      </w:r>
      <w:r w:rsidR="00BE14BC" w:rsidRPr="00A9310F">
        <w:rPr>
          <w:lang w:val="sr-Latn-RS"/>
        </w:rPr>
        <w:t>-om</w:t>
      </w:r>
      <w:r w:rsidRPr="00A9310F">
        <w:rPr>
          <w:lang w:val="sr-Latn-RS"/>
        </w:rPr>
        <w:t>, kao i mera koje obuhvataju zapošljavanje i samozapošljavanje teže zapošljivih grupa i mladih u riziku kao teže zapošljive grupe.</w:t>
      </w:r>
    </w:p>
    <w:p w14:paraId="3C21555B" w14:textId="4E83BA97" w:rsidR="003667E0" w:rsidRPr="00A9310F" w:rsidRDefault="003667E0" w:rsidP="00BE14BC">
      <w:pPr>
        <w:ind w:firstLine="360"/>
        <w:jc w:val="both"/>
        <w:rPr>
          <w:rFonts w:ascii="Calibri" w:hAnsi="Calibri" w:cs="Calibri"/>
          <w:b/>
          <w:bCs/>
          <w:lang w:val="sr-Latn-RS"/>
        </w:rPr>
      </w:pPr>
      <w:r w:rsidRPr="00A9310F">
        <w:rPr>
          <w:rFonts w:ascii="Calibri" w:hAnsi="Calibri" w:cs="Calibri"/>
          <w:b/>
          <w:bCs/>
          <w:lang w:val="sr-Latn-RS"/>
        </w:rPr>
        <w:t>Preporuka br. 4</w:t>
      </w:r>
    </w:p>
    <w:p w14:paraId="42C3B9E2" w14:textId="6E0DAFDD" w:rsidR="00555DF5" w:rsidRPr="00A9310F" w:rsidRDefault="003667E0" w:rsidP="00A9310F">
      <w:pPr>
        <w:shd w:val="clear" w:color="auto" w:fill="FFFFFF"/>
        <w:spacing w:after="225" w:line="276" w:lineRule="auto"/>
        <w:ind w:left="396"/>
        <w:jc w:val="both"/>
        <w:rPr>
          <w:rFonts w:cstheme="minorHAnsi"/>
          <w:b/>
          <w:bCs/>
          <w:lang w:val="sr-Latn-RS"/>
        </w:rPr>
      </w:pPr>
      <w:r w:rsidRPr="00A9310F">
        <w:rPr>
          <w:rFonts w:cstheme="minorHAnsi"/>
          <w:lang w:val="sr-Latn-RS"/>
        </w:rPr>
        <w:t xml:space="preserve">U radnom telu </w:t>
      </w:r>
      <w:r w:rsidR="00F02A0A" w:rsidRPr="00A9310F">
        <w:rPr>
          <w:rFonts w:cstheme="minorHAnsi"/>
          <w:lang w:val="sr-Latn-RS"/>
        </w:rPr>
        <w:t xml:space="preserve">koje inicira i učestvuje u utvrđivanju lokalne politike i mera u oblasti zapošljavanja predvideti i zastupljenost </w:t>
      </w:r>
      <w:r w:rsidRPr="00A9310F">
        <w:rPr>
          <w:rFonts w:cstheme="minorHAnsi"/>
          <w:lang w:val="sr-Latn-RS"/>
        </w:rPr>
        <w:t>mladih i mladih u riziku od socijalne isključenosti</w:t>
      </w:r>
      <w:r w:rsidR="00F02A0A" w:rsidRPr="00A9310F">
        <w:rPr>
          <w:rFonts w:cstheme="minorHAnsi"/>
          <w:lang w:val="sr-Latn-RS"/>
        </w:rPr>
        <w:t xml:space="preserve"> (Savet za zapošljavanje).</w:t>
      </w:r>
      <w:r w:rsidRPr="00A9310F">
        <w:rPr>
          <w:rFonts w:cstheme="minorHAnsi"/>
          <w:lang w:val="sr-Latn-RS"/>
        </w:rPr>
        <w:t xml:space="preserve"> Savet bi trebalo da bude ključni akter </w:t>
      </w:r>
      <w:r w:rsidR="0018721C" w:rsidRPr="00A9310F">
        <w:rPr>
          <w:rFonts w:cstheme="minorHAnsi"/>
          <w:lang w:val="sr-Latn-RS"/>
        </w:rPr>
        <w:t xml:space="preserve">u </w:t>
      </w:r>
      <w:r w:rsidRPr="00A9310F">
        <w:rPr>
          <w:rFonts w:cstheme="minorHAnsi"/>
          <w:lang w:val="sr-Latn-RS"/>
        </w:rPr>
        <w:t>proces</w:t>
      </w:r>
      <w:r w:rsidR="0018721C" w:rsidRPr="00A9310F">
        <w:rPr>
          <w:rFonts w:cstheme="minorHAnsi"/>
          <w:lang w:val="sr-Latn-RS"/>
        </w:rPr>
        <w:t>u</w:t>
      </w:r>
      <w:r w:rsidRPr="00A9310F">
        <w:rPr>
          <w:rFonts w:cstheme="minorHAnsi"/>
          <w:lang w:val="sr-Latn-RS"/>
        </w:rPr>
        <w:t xml:space="preserve"> pripreme Lokalnog akcionog plana za zapošljavanje za 2026. godinu, koji će podrazumevati izmenu/uvođenje dodatnih mera koje će doprineti osamostaljivanju mladih u riziku</w:t>
      </w:r>
      <w:r w:rsidR="00F02A0A" w:rsidRPr="00A9310F">
        <w:rPr>
          <w:rFonts w:cstheme="minorHAnsi"/>
          <w:lang w:val="sr-Latn-RS"/>
        </w:rPr>
        <w:t>.</w:t>
      </w:r>
    </w:p>
    <w:sectPr w:rsidR="00555DF5" w:rsidRPr="00A9310F" w:rsidSect="00696F86">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377A" w14:textId="77777777" w:rsidR="002C7A29" w:rsidRDefault="002C7A29" w:rsidP="0056009A">
      <w:pPr>
        <w:spacing w:after="0" w:line="240" w:lineRule="auto"/>
      </w:pPr>
      <w:r>
        <w:separator/>
      </w:r>
    </w:p>
  </w:endnote>
  <w:endnote w:type="continuationSeparator" w:id="0">
    <w:p w14:paraId="12FAC10D" w14:textId="77777777" w:rsidR="002C7A29" w:rsidRDefault="002C7A29" w:rsidP="0056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D4F5" w14:textId="22731D67" w:rsidR="00A56382" w:rsidRDefault="003E00E9">
    <w:pPr>
      <w:pStyle w:val="Footer"/>
    </w:pPr>
    <w:r w:rsidRPr="00DD7715">
      <w:rPr>
        <w:noProof/>
      </w:rPr>
      <w:drawing>
        <wp:inline distT="0" distB="0" distL="0" distR="0" wp14:anchorId="353BB569" wp14:editId="6F99F32D">
          <wp:extent cx="5943600" cy="1123459"/>
          <wp:effectExtent l="0" t="0" r="0" b="635"/>
          <wp:docPr id="1676489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89386" name=""/>
                  <pic:cNvPicPr/>
                </pic:nvPicPr>
                <pic:blipFill>
                  <a:blip r:embed="rId1"/>
                  <a:stretch>
                    <a:fillRect/>
                  </a:stretch>
                </pic:blipFill>
                <pic:spPr>
                  <a:xfrm>
                    <a:off x="0" y="0"/>
                    <a:ext cx="5943600" cy="11234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5AAD" w14:textId="77777777" w:rsidR="002C7A29" w:rsidRDefault="002C7A29" w:rsidP="0056009A">
      <w:pPr>
        <w:spacing w:after="0" w:line="240" w:lineRule="auto"/>
      </w:pPr>
      <w:r>
        <w:separator/>
      </w:r>
    </w:p>
  </w:footnote>
  <w:footnote w:type="continuationSeparator" w:id="0">
    <w:p w14:paraId="48B2B4EB" w14:textId="77777777" w:rsidR="002C7A29" w:rsidRDefault="002C7A29" w:rsidP="0056009A">
      <w:pPr>
        <w:spacing w:after="0" w:line="240" w:lineRule="auto"/>
      </w:pPr>
      <w:r>
        <w:continuationSeparator/>
      </w:r>
    </w:p>
  </w:footnote>
  <w:footnote w:id="1">
    <w:p w14:paraId="3E8C0A48" w14:textId="7F9925F6" w:rsidR="00380C63" w:rsidRPr="000D18A8" w:rsidRDefault="00380C63" w:rsidP="00380C63">
      <w:pPr>
        <w:pStyle w:val="FootnoteText"/>
        <w:rPr>
          <w:lang w:val="sr-Latn-RS"/>
        </w:rPr>
      </w:pPr>
      <w:r>
        <w:rPr>
          <w:rStyle w:val="FootnoteReference"/>
        </w:rPr>
        <w:footnoteRef/>
      </w:r>
      <w:r>
        <w:t xml:space="preserve"> </w:t>
      </w:r>
      <w:r w:rsidRPr="000D18A8">
        <w:rPr>
          <w:lang w:val="sr-Latn-RS"/>
        </w:rPr>
        <w:t>Aktivnosti</w:t>
      </w:r>
      <w:r w:rsidR="00D06DA7">
        <w:rPr>
          <w:lang w:val="sr-Latn-RS"/>
        </w:rPr>
        <w:t>,</w:t>
      </w:r>
      <w:r w:rsidRPr="000D18A8">
        <w:rPr>
          <w:lang w:val="sr-Latn-RS"/>
        </w:rPr>
        <w:t xml:space="preserve"> uključujući i izradu ovih preporuka</w:t>
      </w:r>
      <w:r w:rsidR="00D06DA7">
        <w:rPr>
          <w:lang w:val="sr-Latn-RS"/>
        </w:rPr>
        <w:t>,</w:t>
      </w:r>
      <w:r w:rsidRPr="000D18A8">
        <w:rPr>
          <w:lang w:val="sr-Latn-RS"/>
        </w:rPr>
        <w:t xml:space="preserve"> sprovode </w:t>
      </w:r>
      <w:r w:rsidR="00D06DA7">
        <w:rPr>
          <w:lang w:val="sr-Latn-RS"/>
        </w:rPr>
        <w:t xml:space="preserve">se </w:t>
      </w:r>
      <w:r w:rsidRPr="000D18A8">
        <w:rPr>
          <w:lang w:val="sr-Latn-RS"/>
        </w:rPr>
        <w:t>u okviru regionalnog projekta „Jaki mlad</w:t>
      </w:r>
      <w:r>
        <w:rPr>
          <w:lang w:val="sr-Latn-RS"/>
        </w:rPr>
        <w:t>i</w:t>
      </w:r>
      <w:r w:rsidR="00DA201F">
        <w:rPr>
          <w:lang w:val="sr-Latn-RS"/>
        </w:rPr>
        <w:t xml:space="preserve"> </w:t>
      </w:r>
      <w:r w:rsidR="00DA201F">
        <w:rPr>
          <w:rFonts w:cstheme="minorHAnsi"/>
          <w:lang w:val="sr-Latn-RS"/>
        </w:rPr>
        <w:t>‒</w:t>
      </w:r>
      <w:r w:rsidRPr="000D18A8">
        <w:rPr>
          <w:lang w:val="sr-Latn-RS"/>
        </w:rPr>
        <w:t xml:space="preserve"> nove perspektive</w:t>
      </w:r>
      <w:r w:rsidR="00D06DA7">
        <w:rPr>
          <w:rFonts w:cstheme="minorHAnsi"/>
          <w:lang w:val="sr-Latn-RS"/>
        </w:rPr>
        <w:t>ˮ</w:t>
      </w:r>
      <w:r w:rsidRPr="000D18A8">
        <w:rPr>
          <w:lang w:val="sr-Latn-RS"/>
        </w:rPr>
        <w:t xml:space="preserve"> koji u Srbiji sprovodi Fondacija SOS Dečija sela Srbija u saradnji sa partnerima (Uradimo Zajedno Kragujevac, Somborski edukativni centar, Edukativni centar Kruševac, </w:t>
      </w:r>
      <w:r w:rsidR="00D06DA7">
        <w:rPr>
          <w:lang w:val="sr-Latn-RS"/>
        </w:rPr>
        <w:t xml:space="preserve">TOC </w:t>
      </w:r>
      <w:r w:rsidR="00D06DA7">
        <w:rPr>
          <w:rFonts w:cstheme="minorHAnsi"/>
          <w:lang w:val="sr-Latn-RS"/>
        </w:rPr>
        <w:t>‒</w:t>
      </w:r>
      <w:r w:rsidR="00D06DA7">
        <w:rPr>
          <w:lang w:val="sr-Latn-RS"/>
        </w:rPr>
        <w:t xml:space="preserve"> </w:t>
      </w:r>
      <w:r w:rsidRPr="000D18A8">
        <w:rPr>
          <w:lang w:val="sr-Latn-RS"/>
        </w:rPr>
        <w:t xml:space="preserve">Asocijacija za razvoj održivih zajednica </w:t>
      </w:r>
      <w:r w:rsidR="00DA201F">
        <w:rPr>
          <w:lang w:val="sr-Latn-RS"/>
        </w:rPr>
        <w:t>Zaječar</w:t>
      </w:r>
      <w:r>
        <w:rPr>
          <w:lang w:val="sr-Latn-RS"/>
        </w:rPr>
        <w:t xml:space="preserve"> i FORCA Požega)</w:t>
      </w:r>
      <w:r w:rsidRPr="000D18A8">
        <w:rPr>
          <w:lang w:val="sr-Latn-RS"/>
        </w:rPr>
        <w:t xml:space="preserve">, a koji finansiraju </w:t>
      </w:r>
      <w:r w:rsidR="00D06DA7">
        <w:rPr>
          <w:lang w:val="sr-Latn-RS"/>
        </w:rPr>
        <w:t>n</w:t>
      </w:r>
      <w:r w:rsidRPr="000D18A8">
        <w:rPr>
          <w:lang w:val="sr-Latn-RS"/>
        </w:rPr>
        <w:t>emačko Savezno ministarstvo za ekonomsku saradnju i razvoj i SOS Dečija sela širom sveta. </w:t>
      </w:r>
    </w:p>
    <w:p w14:paraId="1D733344" w14:textId="77777777" w:rsidR="00380C63" w:rsidRPr="000D18A8" w:rsidRDefault="00380C63" w:rsidP="00380C63">
      <w:pPr>
        <w:pStyle w:val="FootnoteText"/>
        <w:rPr>
          <w:lang w:val="sr-Latn-RS"/>
        </w:rPr>
      </w:pPr>
    </w:p>
    <w:p w14:paraId="678279A3" w14:textId="77777777" w:rsidR="00380C63" w:rsidRPr="005B213D" w:rsidRDefault="00380C63" w:rsidP="00380C63">
      <w:pPr>
        <w:pStyle w:val="FootnoteText"/>
        <w:rPr>
          <w:lang w:val="sr-Latn-R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B1D1" w14:textId="03B4DE5B" w:rsidR="0034713E" w:rsidRDefault="0034713E" w:rsidP="0034713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963D" w14:textId="48CA45F1" w:rsidR="00A56382" w:rsidRDefault="00A56382" w:rsidP="00A56382">
    <w:pPr>
      <w:pStyle w:val="Header"/>
      <w:jc w:val="center"/>
    </w:pPr>
    <w:r>
      <w:rPr>
        <w:noProof/>
      </w:rPr>
      <w:drawing>
        <wp:inline distT="0" distB="0" distL="0" distR="0" wp14:anchorId="12E9FBE1" wp14:editId="3570AB99">
          <wp:extent cx="2568747" cy="845820"/>
          <wp:effectExtent l="0" t="0" r="3175" b="0"/>
          <wp:docPr id="1636011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11487" name="Picture 1636011487"/>
                  <pic:cNvPicPr/>
                </pic:nvPicPr>
                <pic:blipFill>
                  <a:blip r:embed="rId1">
                    <a:extLst>
                      <a:ext uri="{28A0092B-C50C-407E-A947-70E740481C1C}">
                        <a14:useLocalDpi xmlns:a14="http://schemas.microsoft.com/office/drawing/2010/main" val="0"/>
                      </a:ext>
                    </a:extLst>
                  </a:blip>
                  <a:stretch>
                    <a:fillRect/>
                  </a:stretch>
                </pic:blipFill>
                <pic:spPr>
                  <a:xfrm>
                    <a:off x="0" y="0"/>
                    <a:ext cx="2593130" cy="853849"/>
                  </a:xfrm>
                  <a:prstGeom prst="rect">
                    <a:avLst/>
                  </a:prstGeom>
                </pic:spPr>
              </pic:pic>
            </a:graphicData>
          </a:graphic>
        </wp:inline>
      </w:drawing>
    </w:r>
  </w:p>
  <w:p w14:paraId="2C1C310B" w14:textId="77777777" w:rsidR="00A56382" w:rsidRDefault="00A56382" w:rsidP="00A563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84999"/>
    <w:multiLevelType w:val="hybridMultilevel"/>
    <w:tmpl w:val="113C55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9353B0"/>
    <w:multiLevelType w:val="hybridMultilevel"/>
    <w:tmpl w:val="7C4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E16EB"/>
    <w:multiLevelType w:val="hybridMultilevel"/>
    <w:tmpl w:val="B66A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2406A"/>
    <w:multiLevelType w:val="hybridMultilevel"/>
    <w:tmpl w:val="CFAA4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46306"/>
    <w:multiLevelType w:val="hybridMultilevel"/>
    <w:tmpl w:val="5EB2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372066">
    <w:abstractNumId w:val="2"/>
  </w:num>
  <w:num w:numId="2" w16cid:durableId="1481187345">
    <w:abstractNumId w:val="0"/>
  </w:num>
  <w:num w:numId="3" w16cid:durableId="1451825962">
    <w:abstractNumId w:val="1"/>
  </w:num>
  <w:num w:numId="4" w16cid:durableId="588348085">
    <w:abstractNumId w:val="3"/>
  </w:num>
  <w:num w:numId="5" w16cid:durableId="68161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4E"/>
    <w:rsid w:val="0000575E"/>
    <w:rsid w:val="0000781B"/>
    <w:rsid w:val="00011F4E"/>
    <w:rsid w:val="000419C9"/>
    <w:rsid w:val="00052A94"/>
    <w:rsid w:val="000730C3"/>
    <w:rsid w:val="0008765D"/>
    <w:rsid w:val="000A2BD8"/>
    <w:rsid w:val="000A55D8"/>
    <w:rsid w:val="000B10CF"/>
    <w:rsid w:val="000D18A8"/>
    <w:rsid w:val="000E528A"/>
    <w:rsid w:val="000F679F"/>
    <w:rsid w:val="000F6AD6"/>
    <w:rsid w:val="001040EF"/>
    <w:rsid w:val="0018721C"/>
    <w:rsid w:val="00196E3D"/>
    <w:rsid w:val="001A7EF2"/>
    <w:rsid w:val="00203997"/>
    <w:rsid w:val="0020731A"/>
    <w:rsid w:val="0021145B"/>
    <w:rsid w:val="00215FA5"/>
    <w:rsid w:val="002537D4"/>
    <w:rsid w:val="00271524"/>
    <w:rsid w:val="00297251"/>
    <w:rsid w:val="002C01C7"/>
    <w:rsid w:val="002C6008"/>
    <w:rsid w:val="002C7A29"/>
    <w:rsid w:val="0033320D"/>
    <w:rsid w:val="00343116"/>
    <w:rsid w:val="0034713E"/>
    <w:rsid w:val="003667E0"/>
    <w:rsid w:val="003725A7"/>
    <w:rsid w:val="003756A6"/>
    <w:rsid w:val="00380C63"/>
    <w:rsid w:val="003B225E"/>
    <w:rsid w:val="003C6069"/>
    <w:rsid w:val="003E00E9"/>
    <w:rsid w:val="003F47BE"/>
    <w:rsid w:val="004259FD"/>
    <w:rsid w:val="00432379"/>
    <w:rsid w:val="00461E57"/>
    <w:rsid w:val="00462009"/>
    <w:rsid w:val="00495869"/>
    <w:rsid w:val="004A504E"/>
    <w:rsid w:val="004B5EA1"/>
    <w:rsid w:val="004D07A8"/>
    <w:rsid w:val="004D3478"/>
    <w:rsid w:val="00501E61"/>
    <w:rsid w:val="005139DA"/>
    <w:rsid w:val="0051668E"/>
    <w:rsid w:val="00532E75"/>
    <w:rsid w:val="00535EC7"/>
    <w:rsid w:val="00536C09"/>
    <w:rsid w:val="00555DF5"/>
    <w:rsid w:val="005565D6"/>
    <w:rsid w:val="0056009A"/>
    <w:rsid w:val="005E128B"/>
    <w:rsid w:val="005F0D37"/>
    <w:rsid w:val="00605AF4"/>
    <w:rsid w:val="0062789C"/>
    <w:rsid w:val="00636C80"/>
    <w:rsid w:val="00681E79"/>
    <w:rsid w:val="00696F86"/>
    <w:rsid w:val="006A4D51"/>
    <w:rsid w:val="006B587C"/>
    <w:rsid w:val="006D7D71"/>
    <w:rsid w:val="006E5A0A"/>
    <w:rsid w:val="006F3547"/>
    <w:rsid w:val="006F54E6"/>
    <w:rsid w:val="006F66DD"/>
    <w:rsid w:val="007358F4"/>
    <w:rsid w:val="007521FC"/>
    <w:rsid w:val="007563F8"/>
    <w:rsid w:val="00760114"/>
    <w:rsid w:val="007C03E6"/>
    <w:rsid w:val="007D6E2F"/>
    <w:rsid w:val="007E0ED7"/>
    <w:rsid w:val="008149FF"/>
    <w:rsid w:val="00861C28"/>
    <w:rsid w:val="00892734"/>
    <w:rsid w:val="00922762"/>
    <w:rsid w:val="00986D2E"/>
    <w:rsid w:val="009B4FF6"/>
    <w:rsid w:val="009F6927"/>
    <w:rsid w:val="009F6E9C"/>
    <w:rsid w:val="00A151B1"/>
    <w:rsid w:val="00A26BEA"/>
    <w:rsid w:val="00A56382"/>
    <w:rsid w:val="00A604D9"/>
    <w:rsid w:val="00A9310F"/>
    <w:rsid w:val="00AB710D"/>
    <w:rsid w:val="00AD7958"/>
    <w:rsid w:val="00AF0DB4"/>
    <w:rsid w:val="00B0157A"/>
    <w:rsid w:val="00B14AF0"/>
    <w:rsid w:val="00BB1A06"/>
    <w:rsid w:val="00BC3787"/>
    <w:rsid w:val="00BC6F14"/>
    <w:rsid w:val="00BD6E5C"/>
    <w:rsid w:val="00BE14BC"/>
    <w:rsid w:val="00C16381"/>
    <w:rsid w:val="00C502BE"/>
    <w:rsid w:val="00C63345"/>
    <w:rsid w:val="00C8165C"/>
    <w:rsid w:val="00CD1CFF"/>
    <w:rsid w:val="00CF6554"/>
    <w:rsid w:val="00D06DA7"/>
    <w:rsid w:val="00D16496"/>
    <w:rsid w:val="00D26DFB"/>
    <w:rsid w:val="00D918FF"/>
    <w:rsid w:val="00D9789E"/>
    <w:rsid w:val="00DA201F"/>
    <w:rsid w:val="00E16FC8"/>
    <w:rsid w:val="00E65085"/>
    <w:rsid w:val="00E76DBD"/>
    <w:rsid w:val="00EF3AFF"/>
    <w:rsid w:val="00F02A0A"/>
    <w:rsid w:val="00F13266"/>
    <w:rsid w:val="00F73848"/>
    <w:rsid w:val="00FA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2919D"/>
  <w15:chartTrackingRefBased/>
  <w15:docId w15:val="{AFAEB435-0DA6-4A07-BE9F-E90721AC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09A"/>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09A"/>
    <w:rPr>
      <w:rFonts w:asciiTheme="majorHAnsi" w:eastAsiaTheme="majorEastAsia" w:hAnsiTheme="majorHAnsi" w:cstheme="majorBidi"/>
      <w:color w:val="2F5496" w:themeColor="accent1" w:themeShade="BF"/>
      <w:sz w:val="40"/>
      <w:szCs w:val="40"/>
    </w:rPr>
  </w:style>
  <w:style w:type="paragraph" w:styleId="Title">
    <w:name w:val="Title"/>
    <w:basedOn w:val="Normal"/>
    <w:next w:val="Normal"/>
    <w:link w:val="TitleChar"/>
    <w:uiPriority w:val="10"/>
    <w:qFormat/>
    <w:rsid w:val="0056009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6009A"/>
    <w:rPr>
      <w:rFonts w:asciiTheme="majorHAnsi" w:eastAsiaTheme="majorEastAsia" w:hAnsiTheme="majorHAnsi" w:cstheme="majorBidi"/>
      <w:caps/>
      <w:color w:val="44546A" w:themeColor="text2"/>
      <w:spacing w:val="30"/>
      <w:sz w:val="72"/>
      <w:szCs w:val="72"/>
    </w:rPr>
  </w:style>
  <w:style w:type="paragraph" w:styleId="ListParagraph">
    <w:name w:val="List Paragraph"/>
    <w:basedOn w:val="Normal"/>
    <w:link w:val="ListParagraphChar"/>
    <w:uiPriority w:val="34"/>
    <w:qFormat/>
    <w:rsid w:val="0056009A"/>
    <w:pPr>
      <w:spacing w:line="300" w:lineRule="auto"/>
      <w:ind w:left="720"/>
      <w:contextualSpacing/>
    </w:pPr>
    <w:rPr>
      <w:rFonts w:eastAsiaTheme="minorEastAsia"/>
      <w:sz w:val="21"/>
      <w:szCs w:val="21"/>
    </w:rPr>
  </w:style>
  <w:style w:type="paragraph" w:styleId="FootnoteText">
    <w:name w:val="footnote text"/>
    <w:basedOn w:val="Normal"/>
    <w:link w:val="FootnoteTextChar"/>
    <w:unhideWhenUsed/>
    <w:rsid w:val="0056009A"/>
    <w:pPr>
      <w:spacing w:after="0" w:line="240" w:lineRule="auto"/>
    </w:pPr>
    <w:rPr>
      <w:rFonts w:eastAsiaTheme="minorEastAsia"/>
      <w:sz w:val="20"/>
      <w:szCs w:val="20"/>
    </w:rPr>
  </w:style>
  <w:style w:type="character" w:customStyle="1" w:styleId="FootnoteTextChar">
    <w:name w:val="Footnote Text Char"/>
    <w:basedOn w:val="DefaultParagraphFont"/>
    <w:link w:val="FootnoteText"/>
    <w:rsid w:val="0056009A"/>
    <w:rPr>
      <w:rFonts w:eastAsiaTheme="minorEastAsia"/>
      <w:sz w:val="20"/>
      <w:szCs w:val="20"/>
    </w:rPr>
  </w:style>
  <w:style w:type="character" w:styleId="FootnoteReference">
    <w:name w:val="footnote reference"/>
    <w:basedOn w:val="DefaultParagraphFont"/>
    <w:uiPriority w:val="99"/>
    <w:semiHidden/>
    <w:unhideWhenUsed/>
    <w:rsid w:val="0056009A"/>
    <w:rPr>
      <w:vertAlign w:val="superscript"/>
    </w:rPr>
  </w:style>
  <w:style w:type="character" w:customStyle="1" w:styleId="ListParagraphChar">
    <w:name w:val="List Paragraph Char"/>
    <w:link w:val="ListParagraph"/>
    <w:uiPriority w:val="99"/>
    <w:locked/>
    <w:rsid w:val="0056009A"/>
    <w:rPr>
      <w:rFonts w:eastAsiaTheme="minorEastAsia"/>
      <w:sz w:val="21"/>
      <w:szCs w:val="21"/>
    </w:rPr>
  </w:style>
  <w:style w:type="paragraph" w:customStyle="1" w:styleId="Default">
    <w:name w:val="Default"/>
    <w:rsid w:val="005600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kekvd">
    <w:name w:val="vkekvd"/>
    <w:basedOn w:val="DefaultParagraphFont"/>
    <w:rsid w:val="00052A94"/>
  </w:style>
  <w:style w:type="paragraph" w:styleId="Revision">
    <w:name w:val="Revision"/>
    <w:hidden/>
    <w:uiPriority w:val="99"/>
    <w:semiHidden/>
    <w:rsid w:val="00CD1CFF"/>
    <w:pPr>
      <w:spacing w:after="0" w:line="240" w:lineRule="auto"/>
    </w:pPr>
  </w:style>
  <w:style w:type="character" w:styleId="CommentReference">
    <w:name w:val="annotation reference"/>
    <w:basedOn w:val="DefaultParagraphFont"/>
    <w:uiPriority w:val="99"/>
    <w:semiHidden/>
    <w:unhideWhenUsed/>
    <w:rsid w:val="003C6069"/>
    <w:rPr>
      <w:sz w:val="16"/>
      <w:szCs w:val="16"/>
    </w:rPr>
  </w:style>
  <w:style w:type="paragraph" w:styleId="CommentText">
    <w:name w:val="annotation text"/>
    <w:basedOn w:val="Normal"/>
    <w:link w:val="CommentTextChar"/>
    <w:uiPriority w:val="99"/>
    <w:unhideWhenUsed/>
    <w:rsid w:val="003C6069"/>
    <w:pPr>
      <w:spacing w:line="240" w:lineRule="auto"/>
    </w:pPr>
    <w:rPr>
      <w:sz w:val="20"/>
      <w:szCs w:val="20"/>
    </w:rPr>
  </w:style>
  <w:style w:type="character" w:customStyle="1" w:styleId="CommentTextChar">
    <w:name w:val="Comment Text Char"/>
    <w:basedOn w:val="DefaultParagraphFont"/>
    <w:link w:val="CommentText"/>
    <w:uiPriority w:val="99"/>
    <w:rsid w:val="003C6069"/>
    <w:rPr>
      <w:sz w:val="20"/>
      <w:szCs w:val="20"/>
    </w:rPr>
  </w:style>
  <w:style w:type="paragraph" w:styleId="CommentSubject">
    <w:name w:val="annotation subject"/>
    <w:basedOn w:val="CommentText"/>
    <w:next w:val="CommentText"/>
    <w:link w:val="CommentSubjectChar"/>
    <w:uiPriority w:val="99"/>
    <w:semiHidden/>
    <w:unhideWhenUsed/>
    <w:rsid w:val="003C6069"/>
    <w:rPr>
      <w:b/>
      <w:bCs/>
    </w:rPr>
  </w:style>
  <w:style w:type="character" w:customStyle="1" w:styleId="CommentSubjectChar">
    <w:name w:val="Comment Subject Char"/>
    <w:basedOn w:val="CommentTextChar"/>
    <w:link w:val="CommentSubject"/>
    <w:uiPriority w:val="99"/>
    <w:semiHidden/>
    <w:rsid w:val="003C6069"/>
    <w:rPr>
      <w:b/>
      <w:bCs/>
      <w:sz w:val="20"/>
      <w:szCs w:val="20"/>
    </w:rPr>
  </w:style>
  <w:style w:type="paragraph" w:styleId="Header">
    <w:name w:val="header"/>
    <w:basedOn w:val="Normal"/>
    <w:link w:val="HeaderChar"/>
    <w:uiPriority w:val="99"/>
    <w:unhideWhenUsed/>
    <w:rsid w:val="00347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13E"/>
  </w:style>
  <w:style w:type="paragraph" w:styleId="Footer">
    <w:name w:val="footer"/>
    <w:basedOn w:val="Normal"/>
    <w:link w:val="FooterChar"/>
    <w:uiPriority w:val="99"/>
    <w:unhideWhenUsed/>
    <w:rsid w:val="00347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13E"/>
  </w:style>
  <w:style w:type="paragraph" w:styleId="NoSpacing">
    <w:name w:val="No Spacing"/>
    <w:uiPriority w:val="1"/>
    <w:qFormat/>
    <w:rsid w:val="005E128B"/>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ad5b83d-cc9c-470d-8ef1-c82d460ba182">
      <Terms xmlns="http://schemas.microsoft.com/office/infopath/2007/PartnerControls"/>
    </lcf76f155ced4ddcb4097134ff3c332f>
    <TaxCatchAll xmlns="211a24fb-d348-47fd-9c06-a23999516e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469FBAB28B045A878EC514913E59C" ma:contentTypeVersion="15" ma:contentTypeDescription="Create a new document." ma:contentTypeScope="" ma:versionID="e7bfc640c07ef3c4146f8dda8f01d25a">
  <xsd:schema xmlns:xsd="http://www.w3.org/2001/XMLSchema" xmlns:xs="http://www.w3.org/2001/XMLSchema" xmlns:p="http://schemas.microsoft.com/office/2006/metadata/properties" xmlns:ns1="http://schemas.microsoft.com/sharepoint/v3" xmlns:ns2="0ad5b83d-cc9c-470d-8ef1-c82d460ba182" xmlns:ns3="211a24fb-d348-47fd-9c06-a23999516e8e" targetNamespace="http://schemas.microsoft.com/office/2006/metadata/properties" ma:root="true" ma:fieldsID="48753243ef5d00c9ec3269f2ec96d706" ns1:_="" ns2:_="" ns3:_="">
    <xsd:import namespace="http://schemas.microsoft.com/sharepoint/v3"/>
    <xsd:import namespace="0ad5b83d-cc9c-470d-8ef1-c82d460ba182"/>
    <xsd:import namespace="211a24fb-d348-47fd-9c06-a23999516e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5b83d-cc9c-470d-8ef1-c82d460ba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79593f-0e03-42b6-80e2-3fbd2fe373d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a24fb-d348-47fd-9c06-a23999516e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8198b8-8e8d-4027-ae62-367cf71480a7}" ma:internalName="TaxCatchAll" ma:showField="CatchAllData" ma:web="211a24fb-d348-47fd-9c06-a23999516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9619B-B743-4D22-A15F-2987E3AA3DD4}">
  <ds:schemaRefs>
    <ds:schemaRef ds:uri="http://schemas.microsoft.com/office/2006/metadata/properties"/>
    <ds:schemaRef ds:uri="http://schemas.microsoft.com/office/infopath/2007/PartnerControls"/>
    <ds:schemaRef ds:uri="http://schemas.microsoft.com/sharepoint/v3"/>
    <ds:schemaRef ds:uri="0ad5b83d-cc9c-470d-8ef1-c82d460ba182"/>
    <ds:schemaRef ds:uri="211a24fb-d348-47fd-9c06-a23999516e8e"/>
  </ds:schemaRefs>
</ds:datastoreItem>
</file>

<file path=customXml/itemProps2.xml><?xml version="1.0" encoding="utf-8"?>
<ds:datastoreItem xmlns:ds="http://schemas.openxmlformats.org/officeDocument/2006/customXml" ds:itemID="{600D6B50-34E5-43C4-A6E6-1FC5F0B548A9}">
  <ds:schemaRefs>
    <ds:schemaRef ds:uri="http://schemas.microsoft.com/sharepoint/v3/contenttype/forms"/>
  </ds:schemaRefs>
</ds:datastoreItem>
</file>

<file path=customXml/itemProps3.xml><?xml version="1.0" encoding="utf-8"?>
<ds:datastoreItem xmlns:ds="http://schemas.openxmlformats.org/officeDocument/2006/customXml" ds:itemID="{88A0A13C-C074-473C-AD83-56FA5C01D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5b83d-cc9c-470d-8ef1-c82d460ba182"/>
    <ds:schemaRef ds:uri="211a24fb-d348-47fd-9c06-a23999516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2950</Words>
  <Characters>17970</Characters>
  <Application>Microsoft Office Word</Application>
  <DocSecurity>0</DocSecurity>
  <Lines>256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Krizanic</dc:creator>
  <cp:keywords/>
  <dc:description/>
  <cp:lastModifiedBy>Leopold Rollinger</cp:lastModifiedBy>
  <cp:revision>6</cp:revision>
  <dcterms:created xsi:type="dcterms:W3CDTF">2026-03-20T12:03:00Z</dcterms:created>
  <dcterms:modified xsi:type="dcterms:W3CDTF">2026-03-30T11:42:00Z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0x010100D5F469FBAB28B045A878EC514913E59C</vt:lpwstr>
  </property>
  <property fmtid="{D5CDD505-2E9C-101B-9397-08002B2CF9AE}" pid="3" name="MediaServiceImageTags">
    <vt:lpwstr/>
  </property>
</Properties>
</file>